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E327">
      <w:pPr>
        <w:jc w:val="center"/>
        <w:rPr>
          <w:rFonts w:hint="default" w:eastAsiaTheme="minorEastAsia"/>
          <w:vertAlign w:val="baseline"/>
          <w:lang w:val="en-US" w:eastAsia="zh-CN"/>
        </w:rPr>
      </w:pPr>
      <w:r>
        <w:rPr>
          <w:rFonts w:hint="eastAsia"/>
          <w:sz w:val="30"/>
          <w:szCs w:val="30"/>
          <w:lang w:val="en-US" w:eastAsia="zh-CN"/>
        </w:rPr>
        <w:t>二代射频消融系统描述</w:t>
      </w:r>
    </w:p>
    <w:p w14:paraId="7E4394A8">
      <w:pPr>
        <w:jc w:val="both"/>
        <w:rPr>
          <w:rFonts w:hint="eastAsia"/>
          <w:sz w:val="18"/>
          <w:szCs w:val="18"/>
          <w:u w:val="none"/>
          <w:vertAlign w:val="baseline"/>
          <w:lang w:val="en-US" w:eastAsia="zh-CN"/>
        </w:rPr>
      </w:pPr>
      <w:r>
        <w:rPr>
          <w:rFonts w:hint="eastAsia"/>
          <w:sz w:val="18"/>
          <w:szCs w:val="18"/>
          <w:vertAlign w:val="baseline"/>
          <w:lang w:val="en-US" w:eastAsia="zh-CN"/>
        </w:rPr>
        <w:t xml:space="preserve">  </w:t>
      </w:r>
      <w:r>
        <w:rPr>
          <w:rFonts w:hint="eastAsia"/>
          <w:sz w:val="18"/>
          <w:szCs w:val="18"/>
          <w:u w:val="single"/>
          <w:vertAlign w:val="baseline"/>
          <w:lang w:val="en-US" w:eastAsia="zh-CN"/>
        </w:rPr>
        <w:t>工作原理：</w:t>
      </w:r>
      <w:r>
        <w:rPr>
          <w:rFonts w:hint="eastAsia"/>
          <w:sz w:val="18"/>
          <w:szCs w:val="18"/>
          <w:u w:val="none"/>
          <w:vertAlign w:val="baseline"/>
          <w:lang w:val="en-US" w:eastAsia="zh-CN"/>
        </w:rPr>
        <w:t>射频属于一种高频电磁波通常可分为中波、短波、超短波三个波段。其频率范围在100KHZ——27MHZ之间。医用射频消融范围为450KHZ - 550KHZ，</w:t>
      </w:r>
      <w:r>
        <w:rPr>
          <w:rFonts w:hint="eastAsia"/>
          <w:sz w:val="18"/>
          <w:szCs w:val="18"/>
        </w:rPr>
        <w:t>它是一种频率很高的正弦交流电</w:t>
      </w:r>
      <w:r>
        <w:rPr>
          <w:rFonts w:hint="eastAsia"/>
          <w:sz w:val="18"/>
          <w:szCs w:val="18"/>
          <w:u w:val="none"/>
          <w:vertAlign w:val="baseline"/>
          <w:lang w:val="en-US" w:eastAsia="zh-CN"/>
        </w:rPr>
        <w:t>。人体是由许多有机和无机物质构成的复杂结构，体液中含有大量的电解质，如离子、水、胶体微粒等，人体主要依靠离子移动传导电流。在高频交流电作用下，离子浓度的变化方向依电流方向为正负半周期往返变化，随着频率的加快，离子往返的距离显著缩短，使离子极性变化很快，这一瞬间被吸引下一瞬间被排斥。当频率增大时，电极之间的离子沿电力线方向急剧运动，由移动状态逐渐变为振动状态。在振动过程中，由于各种离子的大小、质量、电荷和移动速度均不相同，离子相互摩擦并与其它微粒相碰撞而产热。</w:t>
      </w:r>
    </w:p>
    <w:p w14:paraId="5B224AD4">
      <w:pPr>
        <w:jc w:val="both"/>
        <w:rPr>
          <w:rFonts w:hint="default"/>
          <w:sz w:val="18"/>
          <w:szCs w:val="18"/>
          <w:vertAlign w:val="baseline"/>
          <w:lang w:val="en-US" w:eastAsia="zh-CN"/>
        </w:rPr>
      </w:pPr>
      <w:r>
        <w:rPr>
          <w:rFonts w:hint="eastAsia"/>
          <w:sz w:val="18"/>
          <w:szCs w:val="18"/>
          <w:u w:val="none"/>
          <w:vertAlign w:val="baseline"/>
          <w:lang w:val="en-US" w:eastAsia="zh-CN"/>
        </w:rPr>
        <w:t>由于射频对组织具有生物热作用，故其渐渐被应用于医学中，透热治癌是利用物理疗法使组织加热，达到杀灭癌细胞的温度，从而治疗恶性肿瘤。在射频电磁波作用下，正常组织和肿瘤组织同样能吸收电磁波能量，但是由于肿瘤组织散热不良，使肿瘤组织温度高于肿瘤邻近的正常组织，加上癌细胞对高热比较敏感，因此高热能杀灭癌细胞，而对正常细胞则无损伤，无副作用。高热治癌分为全身高热和局部高热两种，全身高热治疗因技术操作较复杂，患者全身反应较大，有一定的危险性而很少采用。局部高热疗法有较强的穿透力，热效率高、剂量较易掌握、操作简便，故目前常采用局部高频透热疗法，并已广泛运用于各种癌症的综合治疗中。</w:t>
      </w:r>
      <w:r>
        <w:rPr>
          <w:rFonts w:hint="eastAsia"/>
          <w:sz w:val="18"/>
          <w:szCs w:val="18"/>
          <w:vertAlign w:val="baseline"/>
          <w:lang w:val="en-US" w:eastAsia="zh-CN"/>
        </w:rPr>
        <w:br w:type="textWrapping"/>
      </w:r>
      <w:r>
        <w:rPr>
          <w:rFonts w:hint="eastAsia"/>
          <w:sz w:val="18"/>
          <w:szCs w:val="18"/>
          <w:u w:val="single"/>
          <w:vertAlign w:val="baseline"/>
          <w:lang w:val="en-US" w:eastAsia="zh-CN"/>
        </w:rPr>
        <w:t xml:space="preserve"> 模块说明：</w:t>
      </w:r>
    </w:p>
    <w:p w14:paraId="6287E4D6">
      <w:pPr>
        <w:ind w:firstLine="360" w:firstLineChars="200"/>
        <w:jc w:val="both"/>
        <w:rPr>
          <w:rFonts w:hint="eastAsia"/>
          <w:sz w:val="18"/>
          <w:szCs w:val="18"/>
          <w:vertAlign w:val="baseline"/>
          <w:lang w:val="en-US" w:eastAsia="zh-CN"/>
        </w:rPr>
      </w:pPr>
      <w:r>
        <w:rPr>
          <w:rFonts w:hint="eastAsia"/>
          <w:sz w:val="18"/>
          <w:szCs w:val="18"/>
          <w:vertAlign w:val="baseline"/>
          <w:lang w:val="en-US" w:eastAsia="zh-CN"/>
        </w:rPr>
        <w:t>本系统主要由消融功率发射及控制模块、温度测制模块、数据处理模块、射频电极消融针模块、人机界面交互模块和通信模块六个模块组成。</w:t>
      </w:r>
    </w:p>
    <w:p w14:paraId="17276CF7">
      <w:pPr>
        <w:jc w:val="both"/>
        <w:rPr>
          <w:rFonts w:hint="eastAsia"/>
          <w:sz w:val="18"/>
          <w:szCs w:val="18"/>
          <w:vertAlign w:val="baseline"/>
          <w:lang w:val="en-US" w:eastAsia="zh-CN"/>
        </w:rPr>
      </w:pPr>
      <w:r>
        <w:drawing>
          <wp:inline distT="0" distB="0" distL="114300" distR="114300">
            <wp:extent cx="5267960" cy="2555875"/>
            <wp:effectExtent l="0" t="0" r="8890"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5267960" cy="2555875"/>
                    </a:xfrm>
                    <a:prstGeom prst="rect">
                      <a:avLst/>
                    </a:prstGeom>
                    <a:noFill/>
                    <a:ln>
                      <a:noFill/>
                    </a:ln>
                  </pic:spPr>
                </pic:pic>
              </a:graphicData>
            </a:graphic>
          </wp:inline>
        </w:drawing>
      </w:r>
    </w:p>
    <w:p w14:paraId="19A8F49D">
      <w:pPr>
        <w:jc w:val="both"/>
        <w:rPr>
          <w:rFonts w:hint="eastAsia"/>
          <w:sz w:val="18"/>
          <w:szCs w:val="18"/>
          <w:u w:val="single"/>
          <w:vertAlign w:val="baseline"/>
          <w:lang w:val="en-US" w:eastAsia="zh-CN"/>
        </w:rPr>
      </w:pPr>
      <w:r>
        <w:rPr>
          <w:rFonts w:hint="eastAsia"/>
          <w:sz w:val="18"/>
          <w:szCs w:val="18"/>
          <w:u w:val="single"/>
          <w:vertAlign w:val="baseline"/>
          <w:lang w:val="en-US" w:eastAsia="zh-CN"/>
        </w:rPr>
        <w:t>数据处理模块:</w:t>
      </w:r>
    </w:p>
    <w:p w14:paraId="1FFD97CD">
      <w:pPr>
        <w:jc w:val="both"/>
        <w:rPr>
          <w:rFonts w:hint="eastAsia"/>
          <w:sz w:val="18"/>
          <w:szCs w:val="18"/>
          <w:vertAlign w:val="baseline"/>
          <w:lang w:val="en-US" w:eastAsia="zh-CN"/>
        </w:rPr>
      </w:pPr>
      <w:r>
        <w:rPr>
          <w:rFonts w:hint="eastAsia"/>
          <w:sz w:val="18"/>
          <w:szCs w:val="18"/>
          <w:vertAlign w:val="baseline"/>
          <w:lang w:val="en-US" w:eastAsia="zh-CN"/>
        </w:rPr>
        <w:t>1、接收按键旋钮处理模块检测到的脚踏开关状态，判断脚踏动作是否有效，判断是否开始功率输出，并将脚踏状态提示，传递给显示模块。</w:t>
      </w:r>
    </w:p>
    <w:p w14:paraId="29408CC2">
      <w:pPr>
        <w:jc w:val="both"/>
        <w:rPr>
          <w:rFonts w:hint="eastAsia"/>
          <w:sz w:val="18"/>
          <w:szCs w:val="18"/>
          <w:vertAlign w:val="baseline"/>
          <w:lang w:val="en-US" w:eastAsia="zh-CN"/>
        </w:rPr>
      </w:pPr>
      <w:r>
        <w:rPr>
          <w:rFonts w:hint="eastAsia"/>
          <w:sz w:val="18"/>
          <w:szCs w:val="18"/>
          <w:vertAlign w:val="baseline"/>
          <w:lang w:val="en-US" w:eastAsia="zh-CN"/>
        </w:rPr>
        <w:t>2、接收按键旋钮处理模块检测外接附件(电极针)的型号编码，判断附件连接是否正确，并将附件连接状态提示传递给显示模块。如附件连接型号正确，将型号代码传递给功率输出模块。</w:t>
      </w:r>
    </w:p>
    <w:p w14:paraId="32593098">
      <w:pPr>
        <w:jc w:val="both"/>
        <w:rPr>
          <w:rFonts w:hint="eastAsia"/>
          <w:sz w:val="18"/>
          <w:szCs w:val="18"/>
          <w:vertAlign w:val="baseline"/>
          <w:lang w:val="en-US" w:eastAsia="zh-CN"/>
        </w:rPr>
      </w:pPr>
      <w:r>
        <w:rPr>
          <w:rFonts w:hint="eastAsia"/>
          <w:sz w:val="18"/>
          <w:szCs w:val="18"/>
          <w:vertAlign w:val="baseline"/>
          <w:lang w:val="en-US" w:eastAsia="zh-CN"/>
        </w:rPr>
        <w:t>3、接收数据采集模块输出的实时电阻值，判断负极板状态是否正确，确定是否输出能量，并将接收到的实时电阻值，传递给功率输出控制模块。</w:t>
      </w:r>
    </w:p>
    <w:p w14:paraId="7DD0F7DA">
      <w:pPr>
        <w:jc w:val="both"/>
        <w:rPr>
          <w:rFonts w:hint="eastAsia"/>
          <w:sz w:val="18"/>
          <w:szCs w:val="18"/>
          <w:vertAlign w:val="baseline"/>
          <w:lang w:val="en-US" w:eastAsia="zh-CN"/>
        </w:rPr>
      </w:pPr>
      <w:r>
        <w:rPr>
          <w:rFonts w:hint="eastAsia"/>
          <w:sz w:val="18"/>
          <w:szCs w:val="18"/>
          <w:vertAlign w:val="baseline"/>
          <w:lang w:val="en-US" w:eastAsia="zh-CN"/>
        </w:rPr>
        <w:t>4、自动模式下控制单次能量连续输出时间不大于 40秒钟。（输出功率的模式分为自动模式、功率模式、烧针道模式，在治疗过程中的手动治疗模式下，温度控制由手术医生控制；在自动治疗模式下温度控制由治疗仪进行自动控制，但医生同样可以干预，以使温度控制达到最好的效果；烧针道模式下功率放大器全功率输出。）</w:t>
      </w:r>
    </w:p>
    <w:p w14:paraId="33E512C7">
      <w:pPr>
        <w:jc w:val="both"/>
        <w:rPr>
          <w:rFonts w:hint="eastAsia"/>
          <w:sz w:val="18"/>
          <w:szCs w:val="18"/>
          <w:vertAlign w:val="baseline"/>
          <w:lang w:val="en-US" w:eastAsia="zh-CN"/>
        </w:rPr>
      </w:pPr>
      <w:r>
        <w:rPr>
          <w:rFonts w:hint="eastAsia"/>
          <w:sz w:val="18"/>
          <w:szCs w:val="18"/>
          <w:vertAlign w:val="baseline"/>
          <w:lang w:val="en-US" w:eastAsia="zh-CN"/>
        </w:rPr>
        <w:t>5、将负极板的电阻值转化为电导率值，将电导率/时间图像数据输出给显示模块。</w:t>
      </w:r>
    </w:p>
    <w:p w14:paraId="66BF04D1">
      <w:pPr>
        <w:jc w:val="both"/>
        <w:rPr>
          <w:rFonts w:hint="eastAsia"/>
          <w:sz w:val="18"/>
          <w:szCs w:val="18"/>
          <w:vertAlign w:val="baseline"/>
          <w:lang w:val="en-US" w:eastAsia="zh-CN"/>
        </w:rPr>
      </w:pPr>
      <w:r>
        <w:rPr>
          <w:rFonts w:hint="eastAsia"/>
          <w:sz w:val="18"/>
          <w:szCs w:val="18"/>
          <w:vertAlign w:val="baseline"/>
          <w:lang w:val="en-US" w:eastAsia="zh-CN"/>
        </w:rPr>
        <w:t>6、将电极针的输出功率/时间图像数据输出到显示模块。</w:t>
      </w:r>
    </w:p>
    <w:p w14:paraId="2BC801C2">
      <w:pPr>
        <w:jc w:val="both"/>
        <w:rPr>
          <w:rFonts w:hint="eastAsia"/>
          <w:sz w:val="18"/>
          <w:szCs w:val="18"/>
          <w:vertAlign w:val="baseline"/>
          <w:lang w:val="en-US" w:eastAsia="zh-CN"/>
        </w:rPr>
      </w:pPr>
      <w:r>
        <w:rPr>
          <w:rFonts w:hint="eastAsia"/>
          <w:sz w:val="18"/>
          <w:szCs w:val="18"/>
          <w:vertAlign w:val="baseline"/>
          <w:lang w:val="en-US" w:eastAsia="zh-CN"/>
        </w:rPr>
        <w:t>7、将提示状态输出到显示模块。</w:t>
      </w:r>
    </w:p>
    <w:p w14:paraId="5F77DFE7">
      <w:pPr>
        <w:jc w:val="both"/>
        <w:rPr>
          <w:rFonts w:hint="eastAsia"/>
          <w:sz w:val="18"/>
          <w:szCs w:val="18"/>
          <w:vertAlign w:val="baseline"/>
          <w:lang w:val="en-US" w:eastAsia="zh-CN"/>
        </w:rPr>
      </w:pPr>
      <w:r>
        <w:rPr>
          <w:rFonts w:hint="eastAsia"/>
          <w:sz w:val="18"/>
          <w:szCs w:val="18"/>
          <w:vertAlign w:val="baseline"/>
          <w:lang w:val="en-US" w:eastAsia="zh-CN"/>
        </w:rPr>
        <w:t>8、将工作状态信号(正在消融状态，报警状态)输出给声音、指示灯模快。</w:t>
      </w:r>
    </w:p>
    <w:p w14:paraId="7CADF1DF">
      <w:pPr>
        <w:jc w:val="both"/>
        <w:rPr>
          <w:rFonts w:hint="eastAsia"/>
          <w:sz w:val="18"/>
          <w:szCs w:val="18"/>
          <w:u w:val="single"/>
          <w:vertAlign w:val="baseline"/>
          <w:lang w:val="en-US" w:eastAsia="zh-CN"/>
        </w:rPr>
      </w:pPr>
      <w:r>
        <w:rPr>
          <w:rFonts w:hint="default"/>
          <w:sz w:val="18"/>
          <w:szCs w:val="18"/>
          <w:u w:val="single"/>
          <w:vertAlign w:val="baseline"/>
          <w:lang w:val="en-US" w:eastAsia="zh-CN"/>
        </w:rPr>
        <w:t>温度测控模块</w:t>
      </w:r>
      <w:r>
        <w:rPr>
          <w:rFonts w:hint="eastAsia"/>
          <w:sz w:val="18"/>
          <w:szCs w:val="18"/>
          <w:u w:val="single"/>
          <w:vertAlign w:val="baseline"/>
          <w:lang w:val="en-US" w:eastAsia="zh-CN"/>
        </w:rPr>
        <w:t>：</w:t>
      </w:r>
    </w:p>
    <w:p w14:paraId="03B61490">
      <w:pPr>
        <w:jc w:val="both"/>
        <w:rPr>
          <w:rFonts w:hint="default"/>
          <w:sz w:val="18"/>
          <w:szCs w:val="18"/>
          <w:vertAlign w:val="baseline"/>
          <w:lang w:val="en-US" w:eastAsia="zh-CN"/>
        </w:rPr>
      </w:pPr>
      <w:r>
        <w:rPr>
          <w:rFonts w:hint="default"/>
          <w:sz w:val="18"/>
          <w:szCs w:val="18"/>
          <w:vertAlign w:val="baseline"/>
          <w:lang w:val="en-US" w:eastAsia="zh-CN"/>
        </w:rPr>
        <w:t>分为测温模块和温度控制模块。测温模块使用热电偶进行温度测量，测量后经由；温度控制模块的核心是温度控制算法，计划采用PID算法，将整个温控过程分成三个阶段：快速加热阶段、平稳升温阶段和温度维持阶段。</w:t>
      </w:r>
    </w:p>
    <w:p w14:paraId="6F4E6F84">
      <w:pPr>
        <w:jc w:val="both"/>
        <w:rPr>
          <w:rFonts w:hint="eastAsia"/>
          <w:sz w:val="18"/>
          <w:szCs w:val="18"/>
          <w:u w:val="single"/>
          <w:vertAlign w:val="baseline"/>
          <w:lang w:val="en-US" w:eastAsia="zh-CN"/>
        </w:rPr>
      </w:pPr>
      <w:r>
        <w:rPr>
          <w:rFonts w:hint="eastAsia"/>
          <w:sz w:val="18"/>
          <w:szCs w:val="18"/>
          <w:u w:val="single"/>
          <w:vertAlign w:val="baseline"/>
          <w:lang w:val="en-US" w:eastAsia="zh-CN"/>
        </w:rPr>
        <w:t>消融功率发射及控制模块：</w:t>
      </w:r>
    </w:p>
    <w:p w14:paraId="5AE21C50">
      <w:pPr>
        <w:numPr>
          <w:ilvl w:val="0"/>
          <w:numId w:val="1"/>
        </w:numPr>
        <w:jc w:val="both"/>
        <w:rPr>
          <w:rFonts w:hint="eastAsia"/>
          <w:sz w:val="18"/>
          <w:szCs w:val="18"/>
          <w:vertAlign w:val="baseline"/>
          <w:lang w:val="en-US" w:eastAsia="zh-CN"/>
        </w:rPr>
      </w:pPr>
      <w:r>
        <w:rPr>
          <w:rFonts w:hint="eastAsia"/>
          <w:sz w:val="18"/>
          <w:szCs w:val="18"/>
          <w:vertAlign w:val="baseline"/>
          <w:lang w:val="en-US" w:eastAsia="zh-CN"/>
        </w:rPr>
        <w:t>射频消融仪与附件(电极针、负极板)配合使用时，数据处理及控制模块将型号编码及采集到的被消融组织电阻值传递给功率控制模块,与负极板功率曲线进行比较，得出设置的输出功率值，根据功率值控制功率放大电路。</w:t>
      </w:r>
    </w:p>
    <w:p w14:paraId="6F040210">
      <w:pPr>
        <w:numPr>
          <w:ilvl w:val="0"/>
          <w:numId w:val="1"/>
        </w:numPr>
        <w:jc w:val="both"/>
        <w:rPr>
          <w:rFonts w:hint="eastAsia"/>
          <w:sz w:val="18"/>
          <w:szCs w:val="18"/>
          <w:vertAlign w:val="baseline"/>
          <w:lang w:val="en-US" w:eastAsia="zh-CN"/>
        </w:rPr>
      </w:pPr>
      <w:r>
        <w:rPr>
          <w:rFonts w:hint="eastAsia"/>
          <w:sz w:val="18"/>
          <w:szCs w:val="18"/>
          <w:vertAlign w:val="baseline"/>
          <w:lang w:val="en-US" w:eastAsia="zh-CN"/>
        </w:rPr>
        <w:t>该模块包括发生电路、信号滤波电路和信号放大电路。例如信号发生电路产生信号幅度可调整的正弦波，然后通过滤波电路滤出杂波，最后将滤波信号送入信号放大电路，通过运算放大器和功率放大电路的共同作用后，得到输出功率为80W的射频正弦波的信号。</w:t>
      </w:r>
    </w:p>
    <w:p w14:paraId="4804A235">
      <w:pPr>
        <w:numPr>
          <w:numId w:val="0"/>
        </w:numPr>
        <w:jc w:val="both"/>
        <w:rPr>
          <w:rFonts w:hint="default"/>
          <w:sz w:val="18"/>
          <w:szCs w:val="18"/>
          <w:u w:val="single"/>
          <w:vertAlign w:val="baseline"/>
          <w:lang w:val="en-US" w:eastAsia="zh-CN"/>
        </w:rPr>
      </w:pPr>
      <w:r>
        <w:rPr>
          <w:rFonts w:hint="eastAsia"/>
          <w:sz w:val="18"/>
          <w:szCs w:val="18"/>
          <w:u w:val="single"/>
          <w:vertAlign w:val="baseline"/>
          <w:lang w:val="en-US" w:eastAsia="zh-CN"/>
        </w:rPr>
        <w:t>射频消融电极针模块:</w:t>
      </w:r>
    </w:p>
    <w:p w14:paraId="3E1A2632">
      <w:pPr>
        <w:numPr>
          <w:numId w:val="0"/>
        </w:numPr>
        <w:jc w:val="both"/>
        <w:rPr>
          <w:rFonts w:hint="eastAsia"/>
          <w:sz w:val="18"/>
          <w:szCs w:val="18"/>
          <w:vertAlign w:val="baseline"/>
          <w:lang w:val="en-US" w:eastAsia="zh-CN"/>
        </w:rPr>
      </w:pPr>
      <w:r>
        <w:rPr>
          <w:rFonts w:hint="eastAsia"/>
          <w:sz w:val="18"/>
          <w:szCs w:val="18"/>
          <w:vertAlign w:val="baseline"/>
          <w:lang w:val="en-US" w:eastAsia="zh-CN"/>
        </w:rPr>
        <w:t>该模块内含温度测量和信号传输功能，向射频消融治疗仪提供接口。射频电极消融针模块为独立模块,不需要考虑其实现。</w:t>
      </w:r>
    </w:p>
    <w:p w14:paraId="5C26B087">
      <w:pPr>
        <w:jc w:val="both"/>
        <w:rPr>
          <w:rFonts w:hint="eastAsia"/>
          <w:sz w:val="18"/>
          <w:szCs w:val="18"/>
          <w:u w:val="single"/>
          <w:vertAlign w:val="baseline"/>
          <w:lang w:val="en-US" w:eastAsia="zh-CN"/>
        </w:rPr>
      </w:pPr>
      <w:r>
        <w:rPr>
          <w:rFonts w:hint="eastAsia"/>
          <w:sz w:val="18"/>
          <w:szCs w:val="18"/>
          <w:u w:val="single"/>
          <w:vertAlign w:val="baseline"/>
          <w:lang w:val="en-US" w:eastAsia="zh-CN"/>
        </w:rPr>
        <w:t>人机界面交互模块：</w:t>
      </w:r>
    </w:p>
    <w:p w14:paraId="6727F27E">
      <w:pPr>
        <w:jc w:val="both"/>
        <w:rPr>
          <w:rFonts w:hint="eastAsia"/>
          <w:sz w:val="18"/>
          <w:szCs w:val="18"/>
          <w:vertAlign w:val="baseline"/>
          <w:lang w:val="en-US" w:eastAsia="zh-CN"/>
        </w:rPr>
      </w:pPr>
      <w:r>
        <w:rPr>
          <w:rFonts w:hint="eastAsia"/>
          <w:sz w:val="18"/>
          <w:szCs w:val="18"/>
          <w:vertAlign w:val="baseline"/>
          <w:lang w:val="en-US" w:eastAsia="zh-CN"/>
        </w:rPr>
        <w:t>1、当射频发生器与按键旋钮配合使用时，数据处理及控制模块将进行对应参数的修改，将修改后的参数输出到显示模块进行显示。</w:t>
      </w:r>
    </w:p>
    <w:p w14:paraId="50A695EF">
      <w:pPr>
        <w:jc w:val="both"/>
        <w:rPr>
          <w:rFonts w:hint="eastAsia"/>
          <w:sz w:val="18"/>
          <w:szCs w:val="18"/>
          <w:vertAlign w:val="baseline"/>
          <w:lang w:val="en-US" w:eastAsia="zh-CN"/>
        </w:rPr>
      </w:pPr>
      <w:r>
        <w:rPr>
          <w:rFonts w:hint="eastAsia"/>
          <w:sz w:val="18"/>
          <w:szCs w:val="18"/>
          <w:vertAlign w:val="baseline"/>
          <w:lang w:val="en-US" w:eastAsia="zh-CN"/>
        </w:rPr>
        <w:t>2、当射频发生器与射频消融针配合使用时，数据处理及控制模块将实时目标电阻值转化为电导率，将电导-时间曲线输出到显示模块进行显示。</w:t>
      </w:r>
    </w:p>
    <w:p w14:paraId="1180667B">
      <w:pPr>
        <w:jc w:val="both"/>
        <w:rPr>
          <w:rFonts w:hint="eastAsia"/>
          <w:sz w:val="18"/>
          <w:szCs w:val="18"/>
          <w:vertAlign w:val="baseline"/>
          <w:lang w:val="en-US" w:eastAsia="zh-CN"/>
        </w:rPr>
      </w:pPr>
      <w:r>
        <w:rPr>
          <w:rFonts w:hint="eastAsia"/>
          <w:sz w:val="18"/>
          <w:szCs w:val="18"/>
          <w:vertAlign w:val="baseline"/>
          <w:lang w:val="en-US" w:eastAsia="zh-CN"/>
        </w:rPr>
        <w:t>3、当有状态提示时，数据处理及控制模块将相应的提示信息（具体指界面显示的参数）输出到显示模块进行显示。</w:t>
      </w:r>
    </w:p>
    <w:p w14:paraId="2094936C">
      <w:pPr>
        <w:jc w:val="both"/>
        <w:rPr>
          <w:rFonts w:hint="eastAsia"/>
          <w:sz w:val="18"/>
          <w:szCs w:val="18"/>
          <w:vertAlign w:val="baseline"/>
          <w:lang w:val="en-US" w:eastAsia="zh-CN"/>
        </w:rPr>
      </w:pPr>
      <w:r>
        <w:rPr>
          <w:rFonts w:hint="eastAsia"/>
          <w:sz w:val="18"/>
          <w:szCs w:val="18"/>
          <w:vertAlign w:val="baseline"/>
          <w:lang w:val="en-US" w:eastAsia="zh-CN"/>
        </w:rPr>
        <w:t>4、当附件连接正确、旋钮开关档位正确,数据处理及控制模块将提示信号输出到指示灯模块，提示机器已准备好输出能量。</w:t>
      </w:r>
    </w:p>
    <w:p w14:paraId="01EEBE91">
      <w:pPr>
        <w:jc w:val="both"/>
        <w:rPr>
          <w:rFonts w:hint="eastAsia"/>
          <w:sz w:val="18"/>
          <w:szCs w:val="18"/>
          <w:vertAlign w:val="baseline"/>
          <w:lang w:val="en-US" w:eastAsia="zh-CN"/>
        </w:rPr>
      </w:pPr>
      <w:r>
        <w:rPr>
          <w:rFonts w:hint="eastAsia"/>
          <w:sz w:val="18"/>
          <w:szCs w:val="18"/>
          <w:vertAlign w:val="baseline"/>
          <w:lang w:val="en-US" w:eastAsia="zh-CN"/>
        </w:rPr>
        <w:t>5、当射频能量输出时，数据处理及控制模块将提示信号输出到指示灯模块，能量输出提示灯开启。</w:t>
      </w:r>
    </w:p>
    <w:p w14:paraId="55886DEB">
      <w:pPr>
        <w:jc w:val="both"/>
        <w:rPr>
          <w:rFonts w:hint="eastAsia"/>
          <w:sz w:val="18"/>
          <w:szCs w:val="18"/>
          <w:vertAlign w:val="baseline"/>
          <w:lang w:val="en-US" w:eastAsia="zh-CN"/>
        </w:rPr>
      </w:pPr>
      <w:r>
        <w:rPr>
          <w:rFonts w:hint="eastAsia"/>
          <w:sz w:val="18"/>
          <w:szCs w:val="18"/>
          <w:vertAlign w:val="baseline"/>
          <w:lang w:val="en-US" w:eastAsia="zh-CN"/>
        </w:rPr>
        <w:t>6、当被消融组织电阻大于999Ω(临床公认的消融成功的电阻值)时，数据处理及控制模块将提示信号输出到指示灯模块，声音及指示模块发出“完成消融”提示音，提示操作者。</w:t>
      </w:r>
    </w:p>
    <w:p w14:paraId="61FECE07">
      <w:pPr>
        <w:jc w:val="both"/>
        <w:rPr>
          <w:rFonts w:hint="eastAsia"/>
          <w:sz w:val="18"/>
          <w:szCs w:val="18"/>
          <w:vertAlign w:val="baseline"/>
          <w:lang w:val="en-US" w:eastAsia="zh-CN"/>
        </w:rPr>
      </w:pPr>
      <w:r>
        <w:rPr>
          <w:rFonts w:hint="eastAsia"/>
          <w:sz w:val="18"/>
          <w:szCs w:val="18"/>
          <w:vertAlign w:val="baseline"/>
          <w:lang w:val="en-US" w:eastAsia="zh-CN"/>
        </w:rPr>
        <w:t>7、当附件连接正确、旋钮开关档位正确，数据处理及控制模块将提示信号输出到声音模块，提示机器已准备好输出能量。</w:t>
      </w:r>
    </w:p>
    <w:p w14:paraId="22A1AA8C">
      <w:pPr>
        <w:jc w:val="both"/>
        <w:rPr>
          <w:rFonts w:hint="eastAsia"/>
          <w:sz w:val="18"/>
          <w:szCs w:val="18"/>
          <w:vertAlign w:val="baseline"/>
          <w:lang w:val="en-US" w:eastAsia="zh-CN"/>
        </w:rPr>
      </w:pPr>
      <w:r>
        <w:rPr>
          <w:rFonts w:hint="eastAsia"/>
          <w:sz w:val="18"/>
          <w:szCs w:val="18"/>
          <w:vertAlign w:val="baseline"/>
          <w:lang w:val="en-US" w:eastAsia="zh-CN"/>
        </w:rPr>
        <w:t>8、当射频能量输出时，数据处理及控制模块将提示信号输出到声音模块，能量输出提示音开启，同时发出功率输出提示音，直到停止能量输出停止，或组织透壁改变提示音。</w:t>
      </w:r>
    </w:p>
    <w:p w14:paraId="2C2AC045">
      <w:pPr>
        <w:jc w:val="both"/>
        <w:rPr>
          <w:rFonts w:hint="eastAsia"/>
          <w:sz w:val="18"/>
          <w:szCs w:val="18"/>
          <w:vertAlign w:val="baseline"/>
          <w:lang w:val="en-US" w:eastAsia="zh-CN"/>
        </w:rPr>
      </w:pPr>
      <w:r>
        <w:rPr>
          <w:rFonts w:hint="eastAsia"/>
          <w:sz w:val="18"/>
          <w:szCs w:val="18"/>
          <w:vertAlign w:val="baseline"/>
          <w:lang w:val="en-US" w:eastAsia="zh-CN"/>
        </w:rPr>
        <w:t>当被消融组织电阻大于</w:t>
      </w:r>
      <w:r>
        <w:rPr>
          <w:rFonts w:hint="eastAsia"/>
          <w:color w:val="auto"/>
          <w:sz w:val="18"/>
          <w:szCs w:val="18"/>
          <w:vertAlign w:val="baseline"/>
          <w:lang w:val="en-US" w:eastAsia="zh-CN"/>
        </w:rPr>
        <w:t>999</w:t>
      </w:r>
      <w:r>
        <w:rPr>
          <w:rFonts w:hint="eastAsia"/>
          <w:sz w:val="18"/>
          <w:szCs w:val="18"/>
          <w:vertAlign w:val="baseline"/>
          <w:lang w:val="en-US" w:eastAsia="zh-CN"/>
        </w:rPr>
        <w:t>Ω(临床公认的消融成功的电阻值)时，数据处理及控制块将提示信号输出到声音及指示模块，声音模块发出“完成消融”提示音，提示操作者。</w:t>
      </w:r>
    </w:p>
    <w:p w14:paraId="7CE51EE6">
      <w:pPr>
        <w:jc w:val="both"/>
        <w:rPr>
          <w:rFonts w:hint="eastAsia"/>
          <w:sz w:val="18"/>
          <w:szCs w:val="18"/>
          <w:vertAlign w:val="baseline"/>
          <w:lang w:val="en-US" w:eastAsia="zh-CN"/>
        </w:rPr>
      </w:pPr>
      <w:r>
        <w:rPr>
          <w:rFonts w:hint="eastAsia"/>
          <w:sz w:val="18"/>
          <w:szCs w:val="18"/>
          <w:vertAlign w:val="baseline"/>
          <w:lang w:val="en-US" w:eastAsia="zh-CN"/>
        </w:rPr>
        <w:t>9、检测脚踏开关是否连接，并将信号传递给数据处理控制模块。</w:t>
      </w:r>
    </w:p>
    <w:p w14:paraId="404848C4">
      <w:pPr>
        <w:jc w:val="both"/>
        <w:rPr>
          <w:rFonts w:hint="eastAsia"/>
          <w:sz w:val="18"/>
          <w:szCs w:val="18"/>
          <w:vertAlign w:val="baseline"/>
          <w:lang w:val="en-US" w:eastAsia="zh-CN"/>
        </w:rPr>
      </w:pPr>
      <w:r>
        <w:rPr>
          <w:rFonts w:hint="eastAsia"/>
          <w:sz w:val="18"/>
          <w:szCs w:val="18"/>
          <w:vertAlign w:val="baseline"/>
          <w:lang w:val="en-US" w:eastAsia="zh-CN"/>
        </w:rPr>
        <w:t>10、检测旋钮档位与当前连接附件是否匹配，并将信号传递给数据处理控制模块。</w:t>
      </w:r>
    </w:p>
    <w:p w14:paraId="7598FE89">
      <w:pPr>
        <w:jc w:val="both"/>
        <w:rPr>
          <w:rFonts w:hint="default"/>
          <w:sz w:val="18"/>
          <w:szCs w:val="18"/>
          <w:vertAlign w:val="baseline"/>
          <w:lang w:val="en-US" w:eastAsia="zh-CN"/>
        </w:rPr>
      </w:pPr>
      <w:r>
        <w:rPr>
          <w:rFonts w:hint="eastAsia"/>
          <w:sz w:val="18"/>
          <w:szCs w:val="18"/>
          <w:vertAlign w:val="baseline"/>
          <w:lang w:val="en-US" w:eastAsia="zh-CN"/>
        </w:rPr>
        <w:t>11、选择（参数）旋钮：可选择消融时间、功率、模式进行数值的预设。</w:t>
      </w:r>
    </w:p>
    <w:p w14:paraId="57EEF8AC">
      <w:pPr>
        <w:jc w:val="both"/>
        <w:rPr>
          <w:rFonts w:hint="eastAsia"/>
          <w:sz w:val="18"/>
          <w:szCs w:val="18"/>
          <w:vertAlign w:val="baseline"/>
          <w:lang w:val="en-US" w:eastAsia="zh-CN"/>
        </w:rPr>
      </w:pPr>
      <w:r>
        <w:rPr>
          <w:rFonts w:hint="eastAsia"/>
          <w:sz w:val="18"/>
          <w:szCs w:val="18"/>
          <w:vertAlign w:val="baseline"/>
          <w:lang w:val="en-US" w:eastAsia="zh-CN"/>
        </w:rPr>
        <w:t>12、调参旋钮：根据选择旋钮的不同/显示模块进行不同参数的调参。</w:t>
      </w:r>
    </w:p>
    <w:p w14:paraId="4430E8CF">
      <w:pPr>
        <w:jc w:val="both"/>
        <w:rPr>
          <w:rFonts w:hint="eastAsia"/>
          <w:sz w:val="18"/>
          <w:szCs w:val="18"/>
          <w:vertAlign w:val="baseline"/>
          <w:lang w:val="en-US" w:eastAsia="zh-CN"/>
        </w:rPr>
      </w:pPr>
      <w:r>
        <w:rPr>
          <w:rFonts w:hint="eastAsia"/>
          <w:sz w:val="18"/>
          <w:szCs w:val="18"/>
          <w:vertAlign w:val="baseline"/>
          <w:lang w:val="en-US" w:eastAsia="zh-CN"/>
        </w:rPr>
        <w:t>通信模块：</w:t>
      </w:r>
    </w:p>
    <w:p w14:paraId="3AFE953B">
      <w:pPr>
        <w:jc w:val="both"/>
        <w:rPr>
          <w:rFonts w:hint="eastAsia"/>
          <w:sz w:val="18"/>
          <w:szCs w:val="18"/>
          <w:vertAlign w:val="baseline"/>
          <w:lang w:val="en-US" w:eastAsia="zh-CN"/>
        </w:rPr>
      </w:pPr>
      <w:r>
        <w:rPr>
          <w:rFonts w:hint="eastAsia"/>
          <w:sz w:val="18"/>
          <w:szCs w:val="18"/>
          <w:vertAlign w:val="baseline"/>
          <w:lang w:val="en-US" w:eastAsia="zh-CN"/>
        </w:rPr>
        <w:t>1、通信模块具备通过WIFI技术实现数据高效收发的能力，确保数据传输的稳定性和实时性。</w:t>
      </w:r>
    </w:p>
    <w:p w14:paraId="7AB57E5E">
      <w:pPr>
        <w:jc w:val="both"/>
        <w:rPr>
          <w:rFonts w:hint="eastAsia"/>
          <w:sz w:val="18"/>
          <w:szCs w:val="18"/>
          <w:vertAlign w:val="baseline"/>
          <w:lang w:val="en-US" w:eastAsia="zh-CN"/>
        </w:rPr>
      </w:pPr>
      <w:r>
        <w:rPr>
          <w:rFonts w:hint="eastAsia"/>
          <w:sz w:val="18"/>
          <w:szCs w:val="18"/>
          <w:vertAlign w:val="baseline"/>
          <w:lang w:val="en-US" w:eastAsia="zh-CN"/>
        </w:rPr>
        <w:t>2、通信模块支持与其他机器的接口通信，接口协议为RS485。</w:t>
      </w:r>
    </w:p>
    <w:p w14:paraId="3A1D4626">
      <w:pPr>
        <w:jc w:val="both"/>
        <w:rPr>
          <w:rFonts w:hint="eastAsia"/>
          <w:sz w:val="18"/>
          <w:szCs w:val="18"/>
          <w:vertAlign w:val="baseline"/>
          <w:lang w:val="en-US" w:eastAsia="zh-CN"/>
        </w:rPr>
      </w:pPr>
    </w:p>
    <w:p w14:paraId="15EDB3DC">
      <w:pPr>
        <w:jc w:val="both"/>
        <w:rPr>
          <w:rFonts w:hint="eastAsia"/>
          <w:sz w:val="18"/>
          <w:szCs w:val="18"/>
          <w:vertAlign w:val="baseline"/>
          <w:lang w:val="en-US" w:eastAsia="zh-CN"/>
        </w:rPr>
      </w:pPr>
      <w:bookmarkStart w:id="0" w:name="_GoBack"/>
      <w:bookmarkEnd w:id="0"/>
    </w:p>
    <w:p w14:paraId="536CB0F2">
      <w:pPr>
        <w:jc w:val="both"/>
        <w:rPr>
          <w:rFonts w:hint="eastAsia"/>
          <w:sz w:val="18"/>
          <w:szCs w:val="18"/>
          <w:vertAlign w:val="baseline"/>
          <w:lang w:val="en-US" w:eastAsia="zh-CN"/>
        </w:rPr>
      </w:pPr>
      <w:r>
        <w:rPr>
          <w:rFonts w:hint="eastAsia"/>
          <w:sz w:val="18"/>
          <w:szCs w:val="18"/>
          <w:u w:val="single"/>
          <w:vertAlign w:val="baseline"/>
          <w:lang w:val="en-US" w:eastAsia="zh-CN"/>
        </w:rPr>
        <w:t>设备参数</w:t>
      </w:r>
      <w:r>
        <w:rPr>
          <w:rFonts w:hint="eastAsia"/>
          <w:sz w:val="18"/>
          <w:szCs w:val="18"/>
          <w:vertAlign w:val="baseline"/>
          <w:lang w:val="en-US"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724"/>
        <w:gridCol w:w="2074"/>
        <w:gridCol w:w="2075"/>
      </w:tblGrid>
      <w:tr w14:paraId="14A2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14:paraId="39473E0F">
            <w:pPr>
              <w:jc w:val="center"/>
              <w:rPr>
                <w:rFonts w:hint="default"/>
                <w:sz w:val="18"/>
                <w:szCs w:val="18"/>
                <w:vertAlign w:val="baseline"/>
                <w:lang w:val="en-US" w:eastAsia="zh-CN"/>
              </w:rPr>
            </w:pPr>
            <w:r>
              <w:rPr>
                <w:rFonts w:hint="default"/>
                <w:sz w:val="18"/>
                <w:szCs w:val="18"/>
                <w:vertAlign w:val="baseline"/>
                <w:lang w:val="en-US" w:eastAsia="zh-CN"/>
              </w:rPr>
              <w:t>输入功率</w:t>
            </w:r>
          </w:p>
        </w:tc>
        <w:tc>
          <w:tcPr>
            <w:tcW w:w="2724" w:type="dxa"/>
          </w:tcPr>
          <w:p w14:paraId="72F9E297">
            <w:pPr>
              <w:jc w:val="center"/>
              <w:rPr>
                <w:rFonts w:hint="default"/>
                <w:sz w:val="18"/>
                <w:szCs w:val="18"/>
                <w:vertAlign w:val="baseline"/>
                <w:lang w:val="en-US" w:eastAsia="zh-CN"/>
              </w:rPr>
            </w:pPr>
            <w:r>
              <w:rPr>
                <w:rFonts w:hint="eastAsia"/>
                <w:sz w:val="18"/>
                <w:szCs w:val="18"/>
                <w:vertAlign w:val="baseline"/>
                <w:lang w:val="en-US" w:eastAsia="zh-CN"/>
              </w:rPr>
              <w:t>≤</w:t>
            </w:r>
            <w:r>
              <w:rPr>
                <w:rFonts w:hint="default"/>
                <w:sz w:val="18"/>
                <w:szCs w:val="18"/>
                <w:vertAlign w:val="baseline"/>
                <w:lang w:val="en-US" w:eastAsia="zh-CN"/>
              </w:rPr>
              <w:t xml:space="preserve">500VA+10% </w:t>
            </w:r>
          </w:p>
        </w:tc>
        <w:tc>
          <w:tcPr>
            <w:tcW w:w="2074" w:type="dxa"/>
          </w:tcPr>
          <w:p w14:paraId="7EF8C7DE">
            <w:pPr>
              <w:jc w:val="center"/>
              <w:rPr>
                <w:rFonts w:hint="default"/>
                <w:sz w:val="18"/>
                <w:szCs w:val="18"/>
                <w:vertAlign w:val="baseline"/>
                <w:lang w:val="en-US" w:eastAsia="zh-CN"/>
              </w:rPr>
            </w:pPr>
            <w:r>
              <w:rPr>
                <w:rFonts w:hint="eastAsia"/>
                <w:sz w:val="18"/>
                <w:szCs w:val="18"/>
                <w:vertAlign w:val="baseline"/>
                <w:lang w:val="en-US" w:eastAsia="zh-CN"/>
              </w:rPr>
              <w:t>工作频率</w:t>
            </w:r>
          </w:p>
        </w:tc>
        <w:tc>
          <w:tcPr>
            <w:tcW w:w="2075" w:type="dxa"/>
          </w:tcPr>
          <w:p w14:paraId="1B5D9EE3">
            <w:pPr>
              <w:jc w:val="center"/>
              <w:rPr>
                <w:rFonts w:hint="default"/>
                <w:sz w:val="18"/>
                <w:szCs w:val="18"/>
                <w:vertAlign w:val="baseline"/>
                <w:lang w:val="en-US" w:eastAsia="zh-CN"/>
              </w:rPr>
            </w:pPr>
            <w:r>
              <w:rPr>
                <w:rFonts w:hint="eastAsia"/>
                <w:sz w:val="18"/>
                <w:szCs w:val="18"/>
                <w:vertAlign w:val="baseline"/>
                <w:lang w:val="en-US" w:eastAsia="zh-CN"/>
              </w:rPr>
              <w:t>475KHz</w:t>
            </w:r>
            <w:r>
              <w:rPr>
                <w:rFonts w:hint="default"/>
                <w:sz w:val="18"/>
                <w:szCs w:val="18"/>
                <w:vertAlign w:val="baseline"/>
                <w:lang w:val="en-US" w:eastAsia="zh-CN"/>
              </w:rPr>
              <w:t xml:space="preserve">+10% </w:t>
            </w:r>
          </w:p>
        </w:tc>
      </w:tr>
      <w:tr w14:paraId="0F9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23" w:type="dxa"/>
            <w:vAlign w:val="top"/>
          </w:tcPr>
          <w:p w14:paraId="65350256">
            <w:pPr>
              <w:jc w:val="center"/>
              <w:rPr>
                <w:rFonts w:hint="default"/>
                <w:sz w:val="18"/>
                <w:szCs w:val="18"/>
                <w:vertAlign w:val="baseline"/>
                <w:lang w:val="en-US" w:eastAsia="zh-CN"/>
              </w:rPr>
            </w:pPr>
            <w:r>
              <w:rPr>
                <w:rFonts w:hint="eastAsia"/>
                <w:sz w:val="18"/>
                <w:szCs w:val="18"/>
                <w:vertAlign w:val="baseline"/>
                <w:lang w:val="en-US" w:eastAsia="zh-CN"/>
              </w:rPr>
              <w:t>输出功率</w:t>
            </w:r>
          </w:p>
        </w:tc>
        <w:tc>
          <w:tcPr>
            <w:tcW w:w="2724" w:type="dxa"/>
            <w:vAlign w:val="top"/>
          </w:tcPr>
          <w:p w14:paraId="31A3329A">
            <w:pPr>
              <w:jc w:val="center"/>
              <w:rPr>
                <w:rFonts w:hint="default"/>
                <w:sz w:val="18"/>
                <w:szCs w:val="18"/>
                <w:vertAlign w:val="baseline"/>
                <w:lang w:val="en-US" w:eastAsia="zh-CN"/>
              </w:rPr>
            </w:pPr>
            <w:r>
              <w:rPr>
                <w:rFonts w:hint="eastAsia"/>
                <w:sz w:val="18"/>
                <w:szCs w:val="18"/>
                <w:vertAlign w:val="baseline"/>
                <w:lang w:val="en-US" w:eastAsia="zh-CN"/>
              </w:rPr>
              <w:t>0-200 W，最大功率200W</w:t>
            </w:r>
          </w:p>
        </w:tc>
        <w:tc>
          <w:tcPr>
            <w:tcW w:w="2074" w:type="dxa"/>
            <w:vAlign w:val="top"/>
          </w:tcPr>
          <w:p w14:paraId="77C1AB16">
            <w:pPr>
              <w:jc w:val="center"/>
              <w:rPr>
                <w:rFonts w:hint="default"/>
                <w:sz w:val="18"/>
                <w:szCs w:val="18"/>
                <w:vertAlign w:val="baseline"/>
                <w:lang w:val="en-US" w:eastAsia="zh-CN"/>
              </w:rPr>
            </w:pPr>
            <w:r>
              <w:rPr>
                <w:rFonts w:hint="default"/>
                <w:sz w:val="18"/>
                <w:szCs w:val="18"/>
                <w:vertAlign w:val="baseline"/>
                <w:lang w:val="en-US" w:eastAsia="zh-CN"/>
              </w:rPr>
              <w:t>输出功率精度</w:t>
            </w:r>
          </w:p>
        </w:tc>
        <w:tc>
          <w:tcPr>
            <w:tcW w:w="2075" w:type="dxa"/>
            <w:vAlign w:val="top"/>
          </w:tcPr>
          <w:p w14:paraId="2ED6FBA9">
            <w:pPr>
              <w:jc w:val="center"/>
              <w:rPr>
                <w:rFonts w:hint="default"/>
                <w:sz w:val="18"/>
                <w:szCs w:val="18"/>
                <w:vertAlign w:val="baseline"/>
                <w:lang w:val="en-US" w:eastAsia="zh-CN"/>
              </w:rPr>
            </w:pPr>
            <w:r>
              <w:rPr>
                <w:rFonts w:hint="default"/>
                <w:sz w:val="18"/>
                <w:szCs w:val="18"/>
                <w:vertAlign w:val="baseline"/>
                <w:lang w:val="en-US" w:eastAsia="zh-CN"/>
              </w:rPr>
              <w:t>±5%</w:t>
            </w:r>
          </w:p>
        </w:tc>
      </w:tr>
      <w:tr w14:paraId="7598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top"/>
          </w:tcPr>
          <w:p w14:paraId="551BD988">
            <w:pPr>
              <w:jc w:val="center"/>
              <w:rPr>
                <w:rFonts w:hint="default"/>
                <w:sz w:val="18"/>
                <w:szCs w:val="18"/>
                <w:vertAlign w:val="baseline"/>
                <w:lang w:val="en-US" w:eastAsia="zh-CN"/>
              </w:rPr>
            </w:pPr>
            <w:r>
              <w:rPr>
                <w:rFonts w:hint="default"/>
                <w:sz w:val="18"/>
                <w:szCs w:val="18"/>
                <w:vertAlign w:val="baseline"/>
                <w:lang w:val="en-US" w:eastAsia="zh-CN"/>
              </w:rPr>
              <w:t>温度监测范围</w:t>
            </w:r>
          </w:p>
        </w:tc>
        <w:tc>
          <w:tcPr>
            <w:tcW w:w="2724" w:type="dxa"/>
            <w:vAlign w:val="top"/>
          </w:tcPr>
          <w:p w14:paraId="7FD895FA">
            <w:pPr>
              <w:jc w:val="center"/>
              <w:rPr>
                <w:rFonts w:hint="default"/>
                <w:sz w:val="18"/>
                <w:szCs w:val="18"/>
                <w:vertAlign w:val="baseline"/>
                <w:lang w:val="en-US" w:eastAsia="zh-CN"/>
              </w:rPr>
            </w:pPr>
            <w:r>
              <w:rPr>
                <w:rFonts w:hint="eastAsia"/>
                <w:sz w:val="18"/>
                <w:szCs w:val="18"/>
                <w:vertAlign w:val="baseline"/>
                <w:lang w:val="en-US" w:eastAsia="zh-CN"/>
              </w:rPr>
              <w:t>0</w:t>
            </w:r>
            <w:r>
              <w:rPr>
                <w:rFonts w:hint="default"/>
                <w:sz w:val="18"/>
                <w:szCs w:val="18"/>
                <w:vertAlign w:val="baseline"/>
                <w:lang w:val="en-US" w:eastAsia="zh-CN"/>
              </w:rPr>
              <w:t>℃-</w:t>
            </w:r>
            <w:r>
              <w:rPr>
                <w:rFonts w:hint="eastAsia"/>
                <w:sz w:val="18"/>
                <w:szCs w:val="18"/>
                <w:vertAlign w:val="baseline"/>
                <w:lang w:val="en-US" w:eastAsia="zh-CN"/>
              </w:rPr>
              <w:t>99</w:t>
            </w:r>
            <w:r>
              <w:rPr>
                <w:rFonts w:hint="default"/>
                <w:sz w:val="18"/>
                <w:szCs w:val="18"/>
                <w:vertAlign w:val="baseline"/>
                <w:lang w:val="en-US" w:eastAsia="zh-CN"/>
              </w:rPr>
              <w:t>℃，误差不超过±0.5℃</w:t>
            </w:r>
          </w:p>
        </w:tc>
        <w:tc>
          <w:tcPr>
            <w:tcW w:w="2074" w:type="dxa"/>
            <w:vAlign w:val="top"/>
          </w:tcPr>
          <w:p w14:paraId="582061C7">
            <w:pPr>
              <w:jc w:val="center"/>
              <w:rPr>
                <w:rFonts w:hint="eastAsia"/>
                <w:sz w:val="18"/>
                <w:szCs w:val="18"/>
                <w:vertAlign w:val="baseline"/>
                <w:lang w:val="en-US" w:eastAsia="zh-CN"/>
              </w:rPr>
            </w:pPr>
            <w:r>
              <w:rPr>
                <w:rFonts w:hint="eastAsia"/>
                <w:sz w:val="18"/>
                <w:szCs w:val="18"/>
                <w:vertAlign w:val="baseline"/>
                <w:lang w:val="en-US" w:eastAsia="zh-CN"/>
              </w:rPr>
              <w:t>阻抗显示</w:t>
            </w:r>
          </w:p>
        </w:tc>
        <w:tc>
          <w:tcPr>
            <w:tcW w:w="2075" w:type="dxa"/>
            <w:vAlign w:val="top"/>
          </w:tcPr>
          <w:p w14:paraId="2B0FF580">
            <w:pPr>
              <w:jc w:val="center"/>
              <w:rPr>
                <w:rFonts w:hint="eastAsia"/>
                <w:sz w:val="18"/>
                <w:szCs w:val="18"/>
                <w:vertAlign w:val="baseline"/>
                <w:lang w:val="en-US" w:eastAsia="zh-CN"/>
              </w:rPr>
            </w:pPr>
            <w:r>
              <w:rPr>
                <w:rFonts w:hint="eastAsia"/>
                <w:sz w:val="18"/>
                <w:szCs w:val="18"/>
                <w:vertAlign w:val="baseline"/>
                <w:lang w:val="en-US" w:eastAsia="zh-CN"/>
              </w:rPr>
              <w:t>0-999</w:t>
            </w:r>
            <w:r>
              <w:rPr>
                <w:rFonts w:hint="default" w:ascii="Calibri" w:hAnsi="Calibri" w:cs="Calibri"/>
                <w:sz w:val="18"/>
                <w:szCs w:val="18"/>
                <w:vertAlign w:val="baseline"/>
                <w:lang w:val="en-US" w:eastAsia="zh-CN"/>
              </w:rPr>
              <w:t>Ω</w:t>
            </w:r>
          </w:p>
        </w:tc>
      </w:tr>
    </w:tbl>
    <w:p w14:paraId="19E67706">
      <w:pPr>
        <w:jc w:val="both"/>
        <w:rPr>
          <w:rFonts w:hint="eastAsia"/>
          <w:sz w:val="18"/>
          <w:szCs w:val="18"/>
          <w:u w:val="single"/>
          <w:vertAlign w:val="baseline"/>
          <w:lang w:val="en-US" w:eastAsia="zh-CN"/>
        </w:rPr>
      </w:pPr>
      <w:r>
        <w:rPr>
          <w:rFonts w:hint="eastAsia"/>
          <w:sz w:val="18"/>
          <w:szCs w:val="18"/>
          <w:u w:val="single"/>
          <w:vertAlign w:val="baseline"/>
          <w:lang w:val="en-US" w:eastAsia="zh-CN"/>
        </w:rPr>
        <w:t>预期设备功能：</w:t>
      </w:r>
    </w:p>
    <w:p w14:paraId="30A88AA7">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温度探针接口可以使用我们的射频消融电极针检测温度；</w:t>
      </w:r>
    </w:p>
    <w:p w14:paraId="424C9DA7">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中性电极接口可以连接我们的负极板同射频消融电极针形成回路；</w:t>
      </w:r>
    </w:p>
    <w:p w14:paraId="6876F341">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电极接口可以使用我们的射频消融电极针检测温度，同时进行射频电流的输出，与负极板形成回路；</w:t>
      </w:r>
    </w:p>
    <w:p w14:paraId="74137E65">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选择旋钮提供界面切换功能；</w:t>
      </w:r>
    </w:p>
    <w:p w14:paraId="6530B84F">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调参旋钮提供不同界面的参数设置；</w:t>
      </w:r>
    </w:p>
    <w:p w14:paraId="728D20B2">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界面中需要显示温度、时间、功率、阻抗等参数；</w:t>
      </w:r>
    </w:p>
    <w:p w14:paraId="0BD61720">
      <w:pPr>
        <w:numPr>
          <w:ilvl w:val="0"/>
          <w:numId w:val="2"/>
        </w:numPr>
        <w:ind w:left="0" w:leftChars="0" w:firstLine="400" w:firstLineChars="0"/>
        <w:jc w:val="both"/>
        <w:rPr>
          <w:rFonts w:hint="eastAsia"/>
          <w:sz w:val="18"/>
          <w:szCs w:val="18"/>
          <w:vertAlign w:val="baseline"/>
          <w:lang w:val="en-US" w:eastAsia="zh-CN"/>
        </w:rPr>
      </w:pPr>
      <w:r>
        <w:rPr>
          <w:rFonts w:hint="eastAsia"/>
          <w:sz w:val="18"/>
          <w:szCs w:val="18"/>
          <w:vertAlign w:val="baseline"/>
          <w:lang w:val="en-US" w:eastAsia="zh-CN"/>
        </w:rPr>
        <w:t>射频输出按钮，开始/停止射频输出；心率超出阈值，停止射频输出；阻抗超出阈值，停止射频输出；时间到，停止射频输出；</w:t>
      </w:r>
    </w:p>
    <w:p w14:paraId="325720FA">
      <w:pPr>
        <w:numPr>
          <w:ilvl w:val="0"/>
          <w:numId w:val="2"/>
        </w:numPr>
        <w:ind w:left="0" w:leftChars="0" w:firstLine="400" w:firstLineChars="0"/>
        <w:jc w:val="both"/>
        <w:rPr>
          <w:rFonts w:hint="default"/>
          <w:sz w:val="18"/>
          <w:szCs w:val="18"/>
          <w:vertAlign w:val="baseline"/>
          <w:lang w:val="en-US" w:eastAsia="zh-CN"/>
        </w:rPr>
      </w:pPr>
      <w:r>
        <w:rPr>
          <w:rFonts w:hint="eastAsia"/>
          <w:sz w:val="18"/>
          <w:szCs w:val="18"/>
          <w:vertAlign w:val="baseline"/>
          <w:lang w:val="en-US" w:eastAsia="zh-CN"/>
        </w:rPr>
        <w:t>输出功率的模式分为自动模式和功率模式，自动模式下是多针输出——由已连接的射频消融电极针依次进行消融，根据时间和温度进行切换；功率模式下是单针输出；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2BD33"/>
    <w:multiLevelType w:val="singleLevel"/>
    <w:tmpl w:val="B002BD33"/>
    <w:lvl w:ilvl="0" w:tentative="0">
      <w:start w:val="1"/>
      <w:numFmt w:val="decimalEnclosedCircleChinese"/>
      <w:suff w:val="nothing"/>
      <w:lvlText w:val="%1　"/>
      <w:lvlJc w:val="left"/>
      <w:pPr>
        <w:ind w:left="0" w:firstLine="400"/>
      </w:pPr>
      <w:rPr>
        <w:rFonts w:hint="eastAsia"/>
      </w:rPr>
    </w:lvl>
  </w:abstractNum>
  <w:abstractNum w:abstractNumId="1">
    <w:nsid w:val="6B02B90E"/>
    <w:multiLevelType w:val="singleLevel"/>
    <w:tmpl w:val="6B02B90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857C0"/>
    <w:rsid w:val="05990B24"/>
    <w:rsid w:val="06B26107"/>
    <w:rsid w:val="07E900D0"/>
    <w:rsid w:val="0946111A"/>
    <w:rsid w:val="119B16ED"/>
    <w:rsid w:val="15C97069"/>
    <w:rsid w:val="17C74E1D"/>
    <w:rsid w:val="18595CF4"/>
    <w:rsid w:val="1C9F6277"/>
    <w:rsid w:val="1FA97AFE"/>
    <w:rsid w:val="21A87170"/>
    <w:rsid w:val="21E45A8A"/>
    <w:rsid w:val="23A335E2"/>
    <w:rsid w:val="24B822A5"/>
    <w:rsid w:val="24EB4E85"/>
    <w:rsid w:val="29703772"/>
    <w:rsid w:val="2BEE5C2F"/>
    <w:rsid w:val="2CB96556"/>
    <w:rsid w:val="2E406ECD"/>
    <w:rsid w:val="33D82D9B"/>
    <w:rsid w:val="3B226DBD"/>
    <w:rsid w:val="3BF9340A"/>
    <w:rsid w:val="3EA12E85"/>
    <w:rsid w:val="412F1388"/>
    <w:rsid w:val="42300585"/>
    <w:rsid w:val="45E326BE"/>
    <w:rsid w:val="477C6AA7"/>
    <w:rsid w:val="481C0D73"/>
    <w:rsid w:val="4D3C5698"/>
    <w:rsid w:val="51692401"/>
    <w:rsid w:val="563D2F04"/>
    <w:rsid w:val="57F56EF2"/>
    <w:rsid w:val="5BA81CE1"/>
    <w:rsid w:val="5C304F05"/>
    <w:rsid w:val="5C3E16AF"/>
    <w:rsid w:val="5DE452D0"/>
    <w:rsid w:val="62782477"/>
    <w:rsid w:val="655B1BDC"/>
    <w:rsid w:val="6A1717D2"/>
    <w:rsid w:val="6D2D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2393</Words>
  <Characters>2457</Characters>
  <Lines>0</Lines>
  <Paragraphs>0</Paragraphs>
  <TotalTime>0</TotalTime>
  <ScaleCrop>false</ScaleCrop>
  <LinksUpToDate>false</LinksUpToDate>
  <CharactersWithSpaces>2466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2025-01-07T06:02:00Z</dcterms:created>
  <dc:creator>33873</dc:creator>
  <cp:lastModifiedBy>渝</cp:lastModifiedBy>
  <dcterms:modified xsi:type="dcterms:W3CDTF">2025-01-25T00:48:05Z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eyJoZGlkIjoiNTQ3NTdlZmEzN2ZiMjBjMWE5NDUyZjAyMGFiZWY2MWMiLCJ1c2VySWQiOiIxMjk3Mzk2MzQyIn0=</vt:lpwstr>
  </property>
  <property fmtid="{D5CDD505-2E9C-101B-9397-08002B2CF9AE}" pid="4" name="ICV">
    <vt:lpwstr>C70E33895B62459A80E002DA07912920_12</vt:lpwstr>
  </property>
</Properties>
</file>