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DSP 逆变焊接电源项目 需求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触摸屏控制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逆变焊接电源，可以编程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一、设计项目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1、中频逆变焊接电源模块设计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2、焊接电源控制器模块设计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二、功能模块设计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1、电源设计要求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1）整流模块设计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2）DSP 系统设计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3） A/D 采样电路设计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4）触摸屏人机操作模块设计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5）网络通讯模块设计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三、电源设计要求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1、电源要求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启动开关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气阀输出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电流波形保持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信号保持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2、焊接模式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单点电焊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连续电焊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焊缝方式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3、触摸屏功能需求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1、主控制界面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中英文选择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时间设置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编程设置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设备状态设置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复位设置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 焊接流程设置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A)预热方式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B)焊接方式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C)回火方式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D)预热电流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E)焊接电流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F)回火电流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3、焊接设置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4、监视设置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5、密码设置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6、压力参数设置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其他要求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default"/>
          <w:lang w:val="en-US" w:eastAsia="zh-CN"/>
        </w:rPr>
        <w:t>电流递增功能、电极修磨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为了补偿电极磨损造成的焊接电流密度降低现象，控制器提供了电流递增功能。用户可以根据实际情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况设定最多10个步增段。在电流递增功能中涉及到了以下几个参数：电流增量、修磨点间隔、步增段电流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增量、步增段焊点数增量、步增通知点。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焊点计数功能。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还有报警和故障功能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焊接模式应该是分为：恒流和恒压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焊接方式是:点焊和缝焊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IDFon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47938"/>
    <w:rsid w:val="0A9C2C04"/>
    <w:rsid w:val="144C4FCE"/>
    <w:rsid w:val="1E4055B8"/>
    <w:rsid w:val="2ACA49D0"/>
    <w:rsid w:val="323441FC"/>
    <w:rsid w:val="430D5B23"/>
    <w:rsid w:val="469E423F"/>
    <w:rsid w:val="66647938"/>
    <w:rsid w:val="67DF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2020-12-22T05:46:00Z</dcterms:created>
  <dc:creator>lu</dc:creator>
  <cp:lastModifiedBy>lu</cp:lastModifiedBy>
  <dcterms:modified xsi:type="dcterms:W3CDTF">2020-12-22T05:53:50Z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