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芯片ESD/EOS测试</w:t>
      </w:r>
    </w:p>
    <w:p>
      <w:pPr>
        <w:ind w:firstLine="560" w:firstLineChars="200"/>
        <w:rPr>
          <w:rFonts w:hint="eastAsia" w:ascii="宋体" w:hAnsi="宋体" w:eastAsia="宋体" w:cs="宋体"/>
          <w:sz w:val="28"/>
          <w:szCs w:val="36"/>
        </w:rPr>
      </w:pPr>
      <w:r>
        <w:rPr>
          <w:rFonts w:hint="eastAsia" w:ascii="宋体" w:hAnsi="宋体" w:eastAsia="宋体" w:cs="宋体"/>
          <w:sz w:val="28"/>
          <w:szCs w:val="36"/>
        </w:rPr>
        <w:t>EOS/ESD造成的客退情形不曾间断，IC过电压承受能力较低，产品就有损坏风险。</w:t>
      </w:r>
      <w:r>
        <w:rPr>
          <w:rFonts w:hint="eastAsia" w:ascii="宋体" w:hAnsi="宋体" w:eastAsia="宋体" w:cs="宋体"/>
          <w:sz w:val="28"/>
          <w:szCs w:val="36"/>
        </w:rPr>
        <w:br w:type="textWrapping"/>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对成品厂商而言，除了要求IC供货商测试到所要求的ESD防护等级，对于所选用的IC，其承受EOS的能力也更加关注。</w:t>
      </w:r>
    </w:p>
    <w:p>
      <w:pPr>
        <w:rPr>
          <w:rFonts w:hint="default" w:ascii="宋体" w:hAnsi="宋体" w:eastAsia="宋体" w:cs="宋体"/>
          <w:b/>
          <w:bCs/>
          <w:sz w:val="28"/>
          <w:szCs w:val="36"/>
          <w:lang w:val="en-US" w:eastAsia="zh-CN"/>
        </w:rPr>
      </w:pPr>
      <w:r>
        <w:rPr>
          <w:rFonts w:hint="eastAsia" w:ascii="宋体" w:hAnsi="宋体" w:eastAsia="宋体" w:cs="宋体"/>
          <w:b/>
          <w:bCs/>
          <w:color w:val="FF0000"/>
          <w:sz w:val="28"/>
          <w:szCs w:val="36"/>
          <w:lang w:val="en-US" w:eastAsia="zh-CN"/>
        </w:rPr>
        <w:t>GRGT技术服务</w:t>
      </w:r>
    </w:p>
    <w:p>
      <w:pPr>
        <w:ind w:firstLine="560" w:firstLineChars="200"/>
        <w:rPr>
          <w:rFonts w:hint="eastAsia" w:ascii="宋体" w:hAnsi="宋体" w:eastAsia="宋体" w:cs="宋体"/>
          <w:sz w:val="28"/>
          <w:szCs w:val="36"/>
        </w:rPr>
      </w:pPr>
      <w:r>
        <w:rPr>
          <w:rFonts w:hint="eastAsia" w:ascii="宋体" w:hAnsi="宋体" w:eastAsia="宋体" w:cs="宋体"/>
          <w:sz w:val="28"/>
          <w:szCs w:val="36"/>
          <w:lang w:val="en-US" w:eastAsia="zh-CN"/>
        </w:rPr>
        <w:t>广电计量（GRGT）</w:t>
      </w:r>
      <w:r>
        <w:rPr>
          <w:rFonts w:hint="eastAsia" w:ascii="宋体" w:hAnsi="宋体" w:eastAsia="宋体" w:cs="宋体"/>
          <w:sz w:val="28"/>
          <w:szCs w:val="36"/>
        </w:rPr>
        <w:t>能协助您进行测试 ，提供Test to Fail的验证与失效模式报告。藉此了解芯片组件脆弱点与静电承受度，作为您后续系统设计、芯片电路设计调整、甚至后续RMA失效分析的依据。</w:t>
      </w:r>
    </w:p>
    <w:p>
      <w:pPr>
        <w:numPr>
          <w:ilvl w:val="0"/>
          <w:numId w:val="1"/>
        </w:numPr>
        <w:ind w:left="425" w:leftChars="0" w:hanging="425" w:firstLineChars="0"/>
        <w:rPr>
          <w:rFonts w:hint="eastAsia" w:ascii="宋体" w:hAnsi="宋体" w:eastAsia="宋体" w:cs="宋体"/>
          <w:sz w:val="28"/>
          <w:szCs w:val="28"/>
          <w:lang w:eastAsia="zh-CN"/>
        </w:rPr>
      </w:pPr>
      <w:r>
        <w:rPr>
          <w:rFonts w:hint="eastAsia" w:ascii="宋体" w:hAnsi="宋体" w:eastAsia="宋体" w:cs="宋体"/>
          <w:sz w:val="28"/>
          <w:szCs w:val="28"/>
        </w:rPr>
        <w:t>人体放电模式(Human Body Mode)测试</w:t>
      </w:r>
      <w:r>
        <w:rPr>
          <w:rFonts w:hint="eastAsia" w:ascii="宋体" w:hAnsi="宋体" w:eastAsia="宋体" w:cs="宋体"/>
          <w:sz w:val="28"/>
          <w:szCs w:val="28"/>
          <w:lang w:eastAsia="zh-CN"/>
        </w:rPr>
        <w:t>；</w:t>
      </w:r>
    </w:p>
    <w:p>
      <w:pPr>
        <w:numPr>
          <w:ilvl w:val="0"/>
          <w:numId w:val="1"/>
        </w:numPr>
        <w:ind w:left="425" w:leftChars="0" w:hanging="425" w:firstLineChars="0"/>
        <w:rPr>
          <w:rFonts w:hint="eastAsia" w:ascii="宋体" w:hAnsi="宋体" w:eastAsia="宋体" w:cs="宋体"/>
          <w:sz w:val="28"/>
          <w:szCs w:val="28"/>
          <w:lang w:eastAsia="zh-CN"/>
        </w:rPr>
      </w:pPr>
      <w:r>
        <w:rPr>
          <w:rFonts w:hint="eastAsia" w:ascii="宋体" w:hAnsi="宋体" w:eastAsia="宋体" w:cs="宋体"/>
          <w:sz w:val="28"/>
          <w:szCs w:val="28"/>
        </w:rPr>
        <w:t>机器放电模式(Machine Mode) 测试</w:t>
      </w:r>
      <w:bookmarkStart w:id="0" w:name="_GoBack"/>
      <w:bookmarkEnd w:id="0"/>
      <w:r>
        <w:rPr>
          <w:rFonts w:hint="eastAsia" w:ascii="宋体" w:hAnsi="宋体" w:eastAsia="宋体" w:cs="宋体"/>
          <w:sz w:val="28"/>
          <w:szCs w:val="28"/>
          <w:lang w:eastAsia="zh-CN"/>
        </w:rPr>
        <w:t>；</w:t>
      </w:r>
    </w:p>
    <w:p>
      <w:pPr>
        <w:numPr>
          <w:ilvl w:val="0"/>
          <w:numId w:val="1"/>
        </w:numPr>
        <w:ind w:left="425" w:leftChars="0" w:hanging="425" w:firstLineChars="0"/>
        <w:rPr>
          <w:rFonts w:hint="eastAsia" w:ascii="宋体" w:hAnsi="宋体" w:eastAsia="宋体" w:cs="宋体"/>
          <w:sz w:val="28"/>
          <w:szCs w:val="28"/>
          <w:lang w:eastAsia="zh-CN"/>
        </w:rPr>
      </w:pPr>
      <w:r>
        <w:rPr>
          <w:rFonts w:hint="eastAsia" w:ascii="宋体" w:hAnsi="宋体" w:eastAsia="宋体" w:cs="宋体"/>
          <w:sz w:val="28"/>
          <w:szCs w:val="28"/>
        </w:rPr>
        <w:t>组件充/放电模式(Charged Device Mode) 测试</w:t>
      </w:r>
      <w:r>
        <w:rPr>
          <w:rFonts w:hint="eastAsia" w:ascii="宋体" w:hAnsi="宋体" w:eastAsia="宋体" w:cs="宋体"/>
          <w:sz w:val="28"/>
          <w:szCs w:val="28"/>
          <w:lang w:eastAsia="zh-CN"/>
        </w:rPr>
        <w:t>；</w:t>
      </w:r>
    </w:p>
    <w:p>
      <w:pPr>
        <w:numPr>
          <w:ilvl w:val="0"/>
          <w:numId w:val="1"/>
        </w:numPr>
        <w:ind w:left="425" w:leftChars="0" w:hanging="425" w:firstLineChars="0"/>
        <w:rPr>
          <w:rFonts w:hint="eastAsia" w:ascii="宋体" w:hAnsi="宋体" w:eastAsia="宋体" w:cs="宋体"/>
          <w:sz w:val="28"/>
          <w:szCs w:val="28"/>
          <w:lang w:eastAsia="zh-CN"/>
        </w:rPr>
      </w:pPr>
      <w:r>
        <w:rPr>
          <w:rFonts w:hint="eastAsia" w:ascii="宋体" w:hAnsi="宋体" w:eastAsia="宋体" w:cs="宋体"/>
          <w:sz w:val="28"/>
          <w:szCs w:val="28"/>
        </w:rPr>
        <w:t>制具式组件充/放电模式(Socket -Charge Device Mode) 测试</w:t>
      </w:r>
      <w:r>
        <w:rPr>
          <w:rFonts w:hint="eastAsia" w:ascii="宋体" w:hAnsi="宋体" w:eastAsia="宋体" w:cs="宋体"/>
          <w:sz w:val="28"/>
          <w:szCs w:val="28"/>
          <w:lang w:eastAsia="zh-CN"/>
        </w:rPr>
        <w:t>；</w:t>
      </w:r>
    </w:p>
    <w:p>
      <w:pPr>
        <w:numPr>
          <w:ilvl w:val="0"/>
          <w:numId w:val="1"/>
        </w:numPr>
        <w:ind w:left="425" w:leftChars="0" w:hanging="425" w:firstLineChars="0"/>
        <w:rPr>
          <w:rFonts w:hint="eastAsia" w:ascii="宋体" w:hAnsi="宋体" w:eastAsia="宋体" w:cs="宋体"/>
          <w:sz w:val="28"/>
          <w:szCs w:val="28"/>
          <w:lang w:eastAsia="zh-CN"/>
        </w:rPr>
      </w:pPr>
      <w:r>
        <w:rPr>
          <w:rFonts w:hint="eastAsia" w:ascii="宋体" w:hAnsi="宋体" w:eastAsia="宋体" w:cs="宋体"/>
          <w:sz w:val="28"/>
          <w:szCs w:val="28"/>
        </w:rPr>
        <w:t>闩锁效应(Latch-up) 测试</w:t>
      </w:r>
      <w:r>
        <w:rPr>
          <w:rFonts w:hint="eastAsia" w:ascii="宋体" w:hAnsi="宋体" w:eastAsia="宋体" w:cs="宋体"/>
          <w:sz w:val="28"/>
          <w:szCs w:val="28"/>
          <w:lang w:eastAsia="zh-CN"/>
        </w:rPr>
        <w:t>；</w:t>
      </w:r>
    </w:p>
    <w:p>
      <w:pPr>
        <w:numPr>
          <w:ilvl w:val="0"/>
          <w:numId w:val="1"/>
        </w:numPr>
        <w:ind w:left="425" w:leftChars="0" w:hanging="425" w:firstLineChars="0"/>
        <w:rPr>
          <w:rFonts w:hint="eastAsia" w:ascii="宋体" w:hAnsi="宋体" w:eastAsia="宋体" w:cs="宋体"/>
          <w:sz w:val="28"/>
          <w:szCs w:val="28"/>
          <w:lang w:eastAsia="zh-CN"/>
        </w:rPr>
      </w:pPr>
      <w:r>
        <w:rPr>
          <w:rFonts w:hint="eastAsia" w:ascii="宋体" w:hAnsi="宋体" w:eastAsia="宋体" w:cs="宋体"/>
          <w:sz w:val="28"/>
          <w:szCs w:val="28"/>
        </w:rPr>
        <w:t>静电放电闩锁测式(Transient-Induced Latch up)</w:t>
      </w:r>
      <w:r>
        <w:rPr>
          <w:rFonts w:hint="eastAsia" w:ascii="宋体" w:hAnsi="宋体" w:eastAsia="宋体" w:cs="宋体"/>
          <w:sz w:val="28"/>
          <w:szCs w:val="28"/>
          <w:lang w:eastAsia="zh-CN"/>
        </w:rPr>
        <w:t>；</w:t>
      </w:r>
    </w:p>
    <w:p>
      <w:pPr>
        <w:numPr>
          <w:ilvl w:val="0"/>
          <w:numId w:val="1"/>
        </w:numPr>
        <w:ind w:left="425" w:leftChars="0" w:hanging="425" w:firstLineChars="0"/>
        <w:rPr>
          <w:rFonts w:hint="eastAsia" w:ascii="宋体" w:hAnsi="宋体" w:eastAsia="宋体" w:cs="宋体"/>
          <w:sz w:val="28"/>
          <w:szCs w:val="28"/>
          <w:lang w:eastAsia="zh-CN"/>
        </w:rPr>
      </w:pPr>
      <w:r>
        <w:rPr>
          <w:rFonts w:hint="eastAsia" w:ascii="宋体" w:hAnsi="宋体" w:eastAsia="宋体" w:cs="宋体"/>
          <w:sz w:val="28"/>
          <w:szCs w:val="28"/>
        </w:rPr>
        <w:t>系统级静电放电模式 (System ESD Test–ESD GUN TEST)</w:t>
      </w:r>
      <w:r>
        <w:rPr>
          <w:rFonts w:hint="eastAsia" w:ascii="宋体" w:hAnsi="宋体" w:eastAsia="宋体" w:cs="宋体"/>
          <w:sz w:val="28"/>
          <w:szCs w:val="28"/>
          <w:lang w:eastAsia="zh-CN"/>
        </w:rPr>
        <w:t>；</w:t>
      </w:r>
    </w:p>
    <w:p>
      <w:pPr>
        <w:numPr>
          <w:ilvl w:val="0"/>
          <w:numId w:val="1"/>
        </w:numPr>
        <w:ind w:left="425" w:leftChars="0" w:hanging="425" w:firstLineChars="0"/>
        <w:rPr>
          <w:rFonts w:hint="eastAsia" w:ascii="宋体" w:hAnsi="宋体" w:eastAsia="宋体" w:cs="宋体"/>
          <w:sz w:val="28"/>
          <w:szCs w:val="28"/>
          <w:lang w:eastAsia="zh-CN"/>
        </w:rPr>
      </w:pPr>
      <w:r>
        <w:rPr>
          <w:rFonts w:hint="eastAsia" w:ascii="宋体" w:hAnsi="宋体" w:eastAsia="宋体" w:cs="宋体"/>
          <w:sz w:val="28"/>
          <w:szCs w:val="28"/>
        </w:rPr>
        <w:t>测试ESD I-V Curve量测</w:t>
      </w:r>
      <w:r>
        <w:rPr>
          <w:rFonts w:hint="eastAsia" w:ascii="宋体" w:hAnsi="宋体" w:eastAsia="宋体" w:cs="宋体"/>
          <w:sz w:val="28"/>
          <w:szCs w:val="28"/>
          <w:lang w:eastAsia="zh-CN"/>
        </w:rPr>
        <w:t>；</w:t>
      </w:r>
    </w:p>
    <w:p>
      <w:pPr>
        <w:numPr>
          <w:ilvl w:val="0"/>
          <w:numId w:val="1"/>
        </w:numPr>
        <w:ind w:left="425" w:leftChars="0" w:hanging="425" w:firstLineChars="0"/>
        <w:rPr>
          <w:rFonts w:hint="eastAsia" w:ascii="宋体" w:hAnsi="宋体" w:eastAsia="宋体" w:cs="宋体"/>
          <w:sz w:val="24"/>
          <w:szCs w:val="24"/>
          <w:lang w:eastAsia="zh-CN"/>
        </w:rPr>
      </w:pPr>
      <w:r>
        <w:rPr>
          <w:rFonts w:hint="eastAsia" w:ascii="宋体" w:hAnsi="宋体" w:eastAsia="宋体" w:cs="宋体"/>
          <w:sz w:val="28"/>
          <w:szCs w:val="28"/>
        </w:rPr>
        <w:t>过度电性应力EOS (Electrical Overstress)测试</w:t>
      </w:r>
      <w:r>
        <w:rPr>
          <w:rFonts w:hint="eastAsia" w:ascii="宋体" w:hAnsi="宋体" w:eastAsia="宋体" w:cs="宋体"/>
          <w:sz w:val="28"/>
          <w:szCs w:val="28"/>
          <w:lang w:eastAsia="zh-CN"/>
        </w:rPr>
        <w:t>；</w:t>
      </w:r>
    </w:p>
    <w:p>
      <w:pPr>
        <w:rPr>
          <w:rFonts w:hint="eastAsia" w:ascii="宋体" w:hAnsi="宋体" w:eastAsia="宋体" w:cs="宋体"/>
          <w:b/>
          <w:bCs/>
          <w:color w:val="FF0000"/>
          <w:sz w:val="28"/>
          <w:szCs w:val="36"/>
        </w:rPr>
      </w:pPr>
      <w:r>
        <w:rPr>
          <w:rFonts w:hint="eastAsia" w:ascii="宋体" w:hAnsi="宋体" w:eastAsia="宋体" w:cs="宋体"/>
          <w:b/>
          <w:bCs/>
          <w:color w:val="FF0000"/>
          <w:sz w:val="28"/>
          <w:szCs w:val="36"/>
          <w:lang w:val="en-US" w:eastAsia="zh-CN"/>
        </w:rPr>
        <w:t>GRGT</w:t>
      </w:r>
      <w:r>
        <w:rPr>
          <w:rFonts w:hint="eastAsia" w:ascii="宋体" w:hAnsi="宋体" w:eastAsia="宋体" w:cs="宋体"/>
          <w:b/>
          <w:bCs/>
          <w:color w:val="FF0000"/>
          <w:sz w:val="28"/>
          <w:szCs w:val="36"/>
        </w:rPr>
        <w:t>服务优势</w:t>
      </w:r>
    </w:p>
    <w:p>
      <w:pPr>
        <w:numPr>
          <w:ilvl w:val="0"/>
          <w:numId w:val="2"/>
        </w:numPr>
        <w:ind w:left="420" w:leftChars="0" w:hanging="420" w:firstLineChars="0"/>
        <w:rPr>
          <w:rFonts w:hint="eastAsia" w:ascii="宋体" w:hAnsi="宋体" w:eastAsia="宋体" w:cs="宋体"/>
          <w:sz w:val="28"/>
          <w:szCs w:val="36"/>
        </w:rPr>
      </w:pPr>
      <w:r>
        <w:rPr>
          <w:rFonts w:hint="eastAsia" w:ascii="宋体" w:hAnsi="宋体" w:eastAsia="宋体" w:cs="宋体"/>
          <w:sz w:val="28"/>
          <w:szCs w:val="36"/>
        </w:rPr>
        <w:t>丰富的ESD测试经验：提供有效的测试方案，让您能轻易找出产品问题点</w:t>
      </w:r>
      <w:r>
        <w:rPr>
          <w:rFonts w:hint="eastAsia" w:ascii="宋体" w:hAnsi="宋体" w:eastAsia="宋体" w:cs="宋体"/>
          <w:sz w:val="28"/>
          <w:szCs w:val="36"/>
          <w:lang w:val="en-US" w:eastAsia="zh-CN"/>
        </w:rPr>
        <w:t>.</w:t>
      </w:r>
    </w:p>
    <w:p>
      <w:pPr>
        <w:numPr>
          <w:ilvl w:val="0"/>
          <w:numId w:val="2"/>
        </w:numPr>
        <w:ind w:left="420" w:leftChars="0" w:hanging="420" w:firstLineChars="0"/>
        <w:rPr>
          <w:rFonts w:hint="eastAsia" w:ascii="宋体" w:hAnsi="宋体" w:eastAsia="宋体" w:cs="宋体"/>
          <w:sz w:val="28"/>
          <w:szCs w:val="36"/>
        </w:rPr>
      </w:pPr>
      <w:r>
        <w:rPr>
          <w:rFonts w:hint="eastAsia" w:ascii="宋体" w:hAnsi="宋体" w:eastAsia="宋体" w:cs="宋体"/>
          <w:sz w:val="28"/>
          <w:szCs w:val="36"/>
        </w:rPr>
        <w:t>快速交期：三班制24小时运作</w:t>
      </w:r>
      <w:r>
        <w:rPr>
          <w:rFonts w:hint="eastAsia" w:ascii="宋体" w:hAnsi="宋体" w:eastAsia="宋体" w:cs="宋体"/>
          <w:sz w:val="28"/>
          <w:szCs w:val="36"/>
          <w:lang w:val="en-US" w:eastAsia="zh-CN"/>
        </w:rPr>
        <w:t>.</w:t>
      </w:r>
    </w:p>
    <w:p>
      <w:pPr>
        <w:numPr>
          <w:ilvl w:val="0"/>
          <w:numId w:val="2"/>
        </w:numPr>
        <w:ind w:left="420" w:leftChars="0" w:hanging="420" w:firstLineChars="0"/>
        <w:rPr>
          <w:rFonts w:hint="eastAsia" w:ascii="宋体" w:hAnsi="宋体" w:eastAsia="宋体" w:cs="宋体"/>
          <w:sz w:val="28"/>
          <w:szCs w:val="36"/>
        </w:rPr>
      </w:pPr>
      <w:r>
        <w:rPr>
          <w:rFonts w:hint="eastAsia" w:ascii="宋体" w:hAnsi="宋体" w:eastAsia="宋体" w:cs="宋体"/>
          <w:sz w:val="28"/>
          <w:szCs w:val="36"/>
        </w:rPr>
        <w:t>测试结果准确度：静电测试设备搭配自主建立之设备维修保养机制定期定检保障设备输出，将可协助客户取得高精准度之测试结果，降低设备不正常输出造成的测试结果差异。</w:t>
      </w:r>
    </w:p>
    <w:p>
      <w:pPr>
        <w:rPr>
          <w:rFonts w:hint="eastAsia" w:ascii="宋体" w:hAnsi="宋体" w:eastAsia="宋体" w:cs="宋体"/>
          <w:b/>
          <w:bCs/>
          <w:color w:val="FF0000"/>
          <w:sz w:val="28"/>
          <w:szCs w:val="36"/>
        </w:rPr>
      </w:pPr>
      <w:r>
        <w:rPr>
          <w:rFonts w:hint="eastAsia" w:ascii="宋体" w:hAnsi="宋体" w:eastAsia="宋体" w:cs="宋体"/>
          <w:b/>
          <w:bCs/>
          <w:color w:val="FF0000"/>
          <w:sz w:val="28"/>
          <w:szCs w:val="36"/>
        </w:rPr>
        <w:t>参考规范</w:t>
      </w:r>
    </w:p>
    <w:p>
      <w:pPr>
        <w:rPr>
          <w:rFonts w:hint="eastAsia" w:ascii="宋体" w:hAnsi="宋体" w:eastAsia="宋体" w:cs="宋体"/>
          <w:sz w:val="28"/>
          <w:szCs w:val="36"/>
        </w:rPr>
      </w:pPr>
      <w:r>
        <w:rPr>
          <w:rFonts w:hint="eastAsia" w:ascii="宋体" w:hAnsi="宋体" w:eastAsia="宋体" w:cs="宋体"/>
          <w:sz w:val="28"/>
          <w:szCs w:val="36"/>
        </w:rPr>
        <w:t>MIL-STD(美国军规标准)</w:t>
      </w:r>
    </w:p>
    <w:p>
      <w:pPr>
        <w:rPr>
          <w:rFonts w:hint="eastAsia" w:ascii="宋体" w:hAnsi="宋体" w:eastAsia="宋体" w:cs="宋体"/>
          <w:sz w:val="28"/>
          <w:szCs w:val="36"/>
        </w:rPr>
      </w:pPr>
      <w:r>
        <w:rPr>
          <w:rFonts w:hint="eastAsia" w:ascii="宋体" w:hAnsi="宋体" w:eastAsia="宋体" w:cs="宋体"/>
          <w:sz w:val="28"/>
          <w:szCs w:val="36"/>
        </w:rPr>
        <w:t>EIA/JEDEC(固态技术协会规范)</w:t>
      </w:r>
    </w:p>
    <w:p>
      <w:pPr>
        <w:rPr>
          <w:rFonts w:hint="eastAsia" w:ascii="宋体" w:hAnsi="宋体" w:eastAsia="宋体" w:cs="宋体"/>
          <w:sz w:val="28"/>
          <w:szCs w:val="36"/>
        </w:rPr>
      </w:pPr>
      <w:r>
        <w:rPr>
          <w:rFonts w:hint="eastAsia" w:ascii="宋体" w:hAnsi="宋体" w:eastAsia="宋体" w:cs="宋体"/>
          <w:sz w:val="28"/>
          <w:szCs w:val="36"/>
        </w:rPr>
        <w:t>AEC(汽车电子协会规范)</w:t>
      </w:r>
    </w:p>
    <w:p>
      <w:pPr>
        <w:rPr>
          <w:rFonts w:hint="eastAsia" w:ascii="宋体" w:hAnsi="宋体" w:eastAsia="宋体" w:cs="宋体"/>
          <w:sz w:val="28"/>
          <w:szCs w:val="36"/>
        </w:rPr>
      </w:pPr>
      <w:r>
        <w:rPr>
          <w:rFonts w:hint="eastAsia" w:ascii="宋体" w:hAnsi="宋体" w:eastAsia="宋体" w:cs="宋体"/>
          <w:sz w:val="28"/>
          <w:szCs w:val="36"/>
        </w:rPr>
        <w:t>IEC(国际电工委员会)</w:t>
      </w:r>
    </w:p>
    <w:p>
      <w:pPr>
        <w:rPr>
          <w:rFonts w:hint="eastAsia" w:ascii="宋体" w:hAnsi="宋体" w:eastAsia="宋体" w:cs="宋体"/>
          <w:sz w:val="28"/>
          <w:szCs w:val="36"/>
        </w:rPr>
      </w:pPr>
      <w:r>
        <w:rPr>
          <w:rFonts w:hint="eastAsia" w:ascii="宋体" w:hAnsi="宋体" w:eastAsia="宋体" w:cs="宋体"/>
          <w:sz w:val="28"/>
          <w:szCs w:val="36"/>
        </w:rPr>
        <w:t>JEITA(日本静电防护规章)</w:t>
      </w:r>
    </w:p>
    <w:p>
      <w:pPr>
        <w:rPr>
          <w:rFonts w:hint="eastAsia" w:ascii="宋体" w:hAnsi="宋体" w:eastAsia="宋体" w:cs="宋体"/>
          <w:sz w:val="28"/>
          <w:szCs w:val="36"/>
        </w:rPr>
      </w:pPr>
    </w:p>
    <w:tbl>
      <w:tblPr>
        <w:tblW w:w="9937" w:type="dxa"/>
        <w:tblInd w:w="0" w:type="dxa"/>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862"/>
        <w:gridCol w:w="1576"/>
        <w:gridCol w:w="1576"/>
        <w:gridCol w:w="1704"/>
        <w:gridCol w:w="2219"/>
      </w:tblGrid>
      <w:tr>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3" w:hRule="atLeast"/>
          <w:tblHeader/>
        </w:trPr>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IC ESD参考 规 范</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MIL-STD</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JEDEC</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AECQ</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Other</w:t>
            </w:r>
          </w:p>
        </w:tc>
      </w:tr>
      <w:tr>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15" w:type="dxa"/>
            <w:left w:w="15" w:type="dxa"/>
            <w:bottom w:w="15" w:type="dxa"/>
            <w:right w:w="15" w:type="dxa"/>
          </w:tblCellMar>
        </w:tblPrEx>
        <w:trPr>
          <w:trHeight w:val="776" w:hRule="atLeast"/>
        </w:trPr>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HBM (Human Body Mode)</w:t>
            </w: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MIL-STD-883</w:t>
            </w: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JESD22-A114</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JS-001 2017</w:t>
            </w: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AEC-Q100-002</w:t>
            </w: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p>
        </w:tc>
      </w:tr>
      <w:tr>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15" w:type="dxa"/>
            <w:left w:w="15" w:type="dxa"/>
            <w:bottom w:w="15" w:type="dxa"/>
            <w:right w:w="15" w:type="dxa"/>
          </w:tblCellMar>
        </w:tblPrEx>
        <w:trPr>
          <w:trHeight w:val="776" w:hRule="atLeast"/>
        </w:trPr>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MM (Machine Mode)</w:t>
            </w: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JESD22-A115</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JESD22-A115</w:t>
            </w: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AEC-Q100-003</w:t>
            </w: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p>
        </w:tc>
      </w:tr>
      <w:tr>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0" w:type="auto"/>
            <w:tcBorders>
              <w:top w:val="single" w:color="DDDDDD" w:sz="6" w:space="0"/>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SCDM (Socket CDM)</w:t>
            </w:r>
          </w:p>
        </w:tc>
        <w:tc>
          <w:tcPr>
            <w:tcW w:w="0" w:type="auto"/>
            <w:tcBorders>
              <w:top w:val="single" w:color="DDDDDD" w:sz="6" w:space="0"/>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p>
        </w:tc>
        <w:tc>
          <w:tcPr>
            <w:tcW w:w="0" w:type="auto"/>
            <w:tcBorders>
              <w:top w:val="single" w:color="DDDDDD" w:sz="6" w:space="0"/>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p>
        </w:tc>
        <w:tc>
          <w:tcPr>
            <w:tcW w:w="0" w:type="auto"/>
            <w:tcBorders>
              <w:top w:val="single" w:color="DDDDDD" w:sz="6" w:space="0"/>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p>
        </w:tc>
        <w:tc>
          <w:tcPr>
            <w:tcW w:w="0" w:type="auto"/>
            <w:tcBorders>
              <w:top w:val="single" w:color="DDDDDD" w:sz="6" w:space="0"/>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ANSI/ESD SP5.3.2</w:t>
            </w:r>
          </w:p>
        </w:tc>
      </w:tr>
      <w:tr>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CDM (Non-Socket) </w:t>
            </w: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JS002-2018</w:t>
            </w: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AEC-Q100-011</w:t>
            </w: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EIA/ESDA-5.3.1</w:t>
            </w:r>
          </w:p>
        </w:tc>
      </w:tr>
    </w:tbl>
    <w:p>
      <w:pPr>
        <w:rPr>
          <w:rFonts w:hint="eastAsia" w:ascii="宋体" w:hAnsi="宋体" w:eastAsia="宋体" w:cs="宋体"/>
          <w:sz w:val="28"/>
          <w:szCs w:val="36"/>
        </w:rPr>
      </w:pPr>
    </w:p>
    <w:tbl>
      <w:tblPr>
        <w:tblW w:w="9979" w:type="dxa"/>
        <w:tblInd w:w="0" w:type="dxa"/>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498"/>
        <w:gridCol w:w="1670"/>
        <w:gridCol w:w="1352"/>
        <w:gridCol w:w="2107"/>
        <w:gridCol w:w="1352"/>
      </w:tblGrid>
      <w:tr>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Latch-Up参考 规 范</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MIL-STD</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JEDEC</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AECQ</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Other</w:t>
            </w:r>
          </w:p>
        </w:tc>
      </w:tr>
      <w:tr>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Room Temp. Test</w:t>
            </w: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JESD-78</w:t>
            </w: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p>
        </w:tc>
      </w:tr>
      <w:tr>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High Temp. Test</w:t>
            </w: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JESD-78</w:t>
            </w: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AEC-Q100-004</w:t>
            </w:r>
          </w:p>
        </w:tc>
        <w:tc>
          <w:tcPr>
            <w:tcW w:w="0" w:type="auto"/>
            <w:tcBorders>
              <w:top w:val="single" w:color="DDDDDD" w:sz="6" w:space="0"/>
              <w:left w:val="nil"/>
              <w:bottom w:val="single" w:color="E2E2E2" w:sz="6" w:space="0"/>
              <w:right w:val="single" w:color="E2E2E2" w:sz="6" w:space="0"/>
            </w:tcBorders>
            <w:shd w:val="clear" w:color="auto" w:fill="F9F9F9"/>
            <w:tcMar>
              <w:top w:w="75" w:type="dxa"/>
              <w:left w:w="75" w:type="dxa"/>
              <w:bottom w:w="75" w:type="dxa"/>
              <w:right w:w="75" w:type="dxa"/>
            </w:tcMar>
            <w:vAlign w:val="center"/>
          </w:tcPr>
          <w:p>
            <w:pPr>
              <w:rPr>
                <w:rFonts w:hint="eastAsia" w:ascii="宋体" w:hAnsi="宋体" w:eastAsia="宋体" w:cs="宋体"/>
                <w:sz w:val="24"/>
                <w:szCs w:val="24"/>
              </w:rPr>
            </w:pPr>
          </w:p>
        </w:tc>
      </w:tr>
    </w:tbl>
    <w:p>
      <w:pPr>
        <w:rPr>
          <w:rFonts w:hint="eastAsia" w:ascii="宋体" w:hAnsi="宋体" w:eastAsia="宋体" w:cs="宋体"/>
          <w:sz w:val="28"/>
          <w:szCs w:val="36"/>
        </w:rPr>
      </w:pPr>
    </w:p>
    <w:tbl>
      <w:tblPr>
        <w:tblW w:w="9996" w:type="dxa"/>
        <w:tblInd w:w="0" w:type="dxa"/>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451"/>
        <w:gridCol w:w="1510"/>
        <w:gridCol w:w="1223"/>
        <w:gridCol w:w="1906"/>
        <w:gridCol w:w="1906"/>
      </w:tblGrid>
      <w:tr>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79" w:hRule="atLeast"/>
          <w:tblHeader/>
        </w:trPr>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System ESD参考 规 范</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MIL-STD</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JEDEC</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AECQ</w:t>
            </w:r>
          </w:p>
        </w:tc>
        <w:tc>
          <w:tcPr>
            <w:tcW w:w="0" w:type="auto"/>
            <w:tcBorders>
              <w:top w:val="nil"/>
              <w:left w:val="nil"/>
              <w:bottom w:val="single" w:color="DDDDDD" w:sz="6" w:space="0"/>
              <w:right w:val="single" w:color="E2E2E2" w:sz="6" w:space="0"/>
            </w:tcBorders>
            <w:shd w:val="clear" w:color="auto" w:fill="E3E3E3"/>
            <w:tcMar>
              <w:top w:w="105" w:type="dxa"/>
              <w:left w:w="210" w:type="dxa"/>
              <w:bottom w:w="105" w:type="dxa"/>
              <w:right w:w="210"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Other</w:t>
            </w:r>
          </w:p>
        </w:tc>
      </w:tr>
      <w:tr>
        <w:tblPrEx>
          <w:tblBorders>
            <w:top w:val="single" w:color="E2E2E2" w:sz="6" w:space="0"/>
            <w:left w:val="single" w:color="E2E2E2" w:sz="6" w:space="0"/>
            <w:bottom w:val="single" w:color="E2E2E2" w:sz="6" w:space="0"/>
            <w:right w:val="single" w:color="E2E2E2" w:sz="6"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HBM (Human Body Mode)</w:t>
            </w: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AEC-Q200-002</w:t>
            </w:r>
          </w:p>
        </w:tc>
        <w:tc>
          <w:tcPr>
            <w:tcW w:w="0" w:type="auto"/>
            <w:tcBorders>
              <w:top w:val="nil"/>
              <w:left w:val="nil"/>
              <w:bottom w:val="single" w:color="E2E2E2" w:sz="6" w:space="0"/>
              <w:right w:val="single" w:color="E2E2E2" w:sz="6" w:space="0"/>
            </w:tcBorders>
            <w:shd w:val="clear" w:color="auto" w:fill="FFFFFF"/>
            <w:tcMar>
              <w:top w:w="75" w:type="dxa"/>
              <w:left w:w="75" w:type="dxa"/>
              <w:bottom w:w="75" w:type="dxa"/>
              <w:right w:w="75" w:type="dxa"/>
            </w:tcMar>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IEC61000-4-2</w:t>
            </w:r>
          </w:p>
        </w:tc>
      </w:tr>
    </w:tbl>
    <w:p>
      <w:pPr>
        <w:rPr>
          <w:rFonts w:hint="eastAsia"/>
          <w:b/>
          <w:bCs/>
          <w:color w:val="FF0000"/>
          <w:sz w:val="28"/>
          <w:szCs w:val="36"/>
          <w:lang w:val="en-US" w:eastAsia="zh-CN"/>
        </w:rPr>
      </w:pPr>
    </w:p>
    <w:p>
      <w:pPr>
        <w:rPr>
          <w:rFonts w:hint="default" w:eastAsiaTheme="minorEastAsia"/>
          <w:sz w:val="28"/>
          <w:szCs w:val="36"/>
          <w:lang w:val="en-US" w:eastAsia="zh-CN"/>
        </w:rPr>
      </w:pPr>
      <w:r>
        <w:rPr>
          <w:rFonts w:hint="eastAsia"/>
          <w:b/>
          <w:bCs/>
          <w:color w:val="FF0000"/>
          <w:sz w:val="28"/>
          <w:szCs w:val="36"/>
          <w:lang w:val="en-US" w:eastAsia="zh-CN"/>
        </w:rPr>
        <w:t>公司简介：</w:t>
      </w:r>
    </w:p>
    <w:p>
      <w:pPr>
        <w:ind w:firstLine="560" w:firstLineChars="200"/>
        <w:rPr>
          <w:rFonts w:hint="eastAsia"/>
          <w:sz w:val="28"/>
          <w:szCs w:val="36"/>
        </w:rPr>
      </w:pPr>
      <w:r>
        <w:rPr>
          <w:rFonts w:hint="eastAsia"/>
          <w:sz w:val="28"/>
          <w:szCs w:val="36"/>
        </w:rPr>
        <w:t>广州广电计量检测股份有限公司</w:t>
      </w:r>
      <w:r>
        <w:rPr>
          <w:rFonts w:hint="eastAsia"/>
          <w:sz w:val="28"/>
          <w:szCs w:val="36"/>
          <w:lang w:eastAsia="zh-CN"/>
        </w:rPr>
        <w:t>（</w:t>
      </w:r>
      <w:r>
        <w:rPr>
          <w:rFonts w:hint="eastAsia"/>
          <w:sz w:val="28"/>
          <w:szCs w:val="36"/>
          <w:lang w:val="en-US" w:eastAsia="zh-CN"/>
        </w:rPr>
        <w:t>GRGT</w:t>
      </w:r>
      <w:r>
        <w:rPr>
          <w:rFonts w:hint="eastAsia"/>
          <w:sz w:val="28"/>
          <w:szCs w:val="36"/>
          <w:lang w:eastAsia="zh-CN"/>
        </w:rPr>
        <w:t>）</w:t>
      </w:r>
      <w:r>
        <w:rPr>
          <w:rFonts w:hint="eastAsia"/>
          <w:sz w:val="28"/>
          <w:szCs w:val="36"/>
        </w:rPr>
        <w:t>是原信息产业部电子602计量站，经过50余年的发展，现已成为一家全国化、综合性的国有第三方计量检测机构，专注于为客户提供计量、检测、认证以及技术咨询与培训等专业技术服务，在计量校准、可靠性与环境试验、</w:t>
      </w:r>
      <w:r>
        <w:rPr>
          <w:rFonts w:hint="eastAsia"/>
          <w:sz w:val="28"/>
          <w:szCs w:val="36"/>
          <w:lang w:val="en-US" w:eastAsia="zh-CN"/>
        </w:rPr>
        <w:t>元器件筛选与失效分析检测、车规元器件认证测试、</w:t>
      </w:r>
      <w:r>
        <w:rPr>
          <w:rFonts w:hint="eastAsia"/>
          <w:sz w:val="28"/>
          <w:szCs w:val="36"/>
        </w:rPr>
        <w:t>电磁兼容检测等多个领域的技术能力及业务规模处于国内领先水平。</w:t>
      </w:r>
    </w:p>
    <w:p>
      <w:pPr>
        <w:ind w:firstLine="560" w:firstLineChars="200"/>
        <w:rPr>
          <w:rFonts w:hint="eastAsia" w:ascii="宋体" w:hAnsi="宋体" w:eastAsia="宋体" w:cs="宋体"/>
          <w:b/>
          <w:bCs/>
          <w:sz w:val="28"/>
          <w:szCs w:val="36"/>
        </w:rPr>
      </w:pPr>
      <w:r>
        <w:rPr>
          <w:rFonts w:hint="eastAsia"/>
          <w:sz w:val="28"/>
          <w:szCs w:val="36"/>
          <w:lang w:val="en-US" w:eastAsia="zh-CN"/>
        </w:rPr>
        <w:t>GRGT目前具有以下芯片相关测试能力及技术服务能力：</w:t>
      </w:r>
    </w:p>
    <w:p>
      <w:pPr>
        <w:rPr>
          <w:rFonts w:hint="eastAsia" w:ascii="宋体" w:hAnsi="宋体" w:eastAsia="宋体" w:cs="宋体"/>
          <w:sz w:val="28"/>
          <w:szCs w:val="36"/>
          <w:lang w:eastAsia="zh-CN"/>
        </w:rPr>
      </w:pPr>
      <w:r>
        <w:rPr>
          <w:rFonts w:hint="eastAsia" w:ascii="宋体" w:hAnsi="宋体" w:eastAsia="宋体" w:cs="宋体"/>
          <w:b/>
          <w:bCs/>
          <w:sz w:val="28"/>
          <w:szCs w:val="36"/>
        </w:rPr>
        <w:t>芯片可靠性验证 ( RA)</w:t>
      </w:r>
      <w:r>
        <w:rPr>
          <w:rFonts w:hint="eastAsia" w:ascii="宋体" w:hAnsi="宋体" w:eastAsia="宋体" w:cs="宋体"/>
          <w:b/>
          <w:bCs/>
          <w:sz w:val="28"/>
          <w:szCs w:val="36"/>
          <w:lang w:eastAsia="zh-CN"/>
        </w:rPr>
        <w:t>：</w:t>
      </w:r>
    </w:p>
    <w:p>
      <w:pPr>
        <w:rPr>
          <w:rFonts w:hint="eastAsia" w:ascii="宋体" w:hAnsi="宋体" w:eastAsia="宋体" w:cs="宋体"/>
          <w:sz w:val="28"/>
          <w:szCs w:val="36"/>
        </w:rPr>
      </w:pPr>
      <w:r>
        <w:rPr>
          <w:rFonts w:hint="eastAsia" w:ascii="宋体" w:hAnsi="宋体" w:eastAsia="宋体" w:cs="宋体"/>
          <w:sz w:val="28"/>
          <w:szCs w:val="36"/>
        </w:rPr>
        <w:t>芯片级预处理(PC) &amp; MSL试验 、J-STD-020 &amp; JESD22-A113 ；</w:t>
      </w:r>
    </w:p>
    <w:p>
      <w:pPr>
        <w:rPr>
          <w:rFonts w:hint="eastAsia" w:ascii="宋体" w:hAnsi="宋体" w:eastAsia="宋体" w:cs="宋体"/>
          <w:sz w:val="28"/>
          <w:szCs w:val="36"/>
        </w:rPr>
      </w:pPr>
      <w:r>
        <w:rPr>
          <w:rFonts w:hint="eastAsia" w:ascii="宋体" w:hAnsi="宋体" w:eastAsia="宋体" w:cs="宋体"/>
          <w:sz w:val="28"/>
          <w:szCs w:val="36"/>
        </w:rPr>
        <w:t>高温存储试验(HTSL), JESD22-A103 ；</w:t>
      </w:r>
    </w:p>
    <w:p>
      <w:pPr>
        <w:rPr>
          <w:rFonts w:hint="eastAsia" w:ascii="宋体" w:hAnsi="宋体" w:eastAsia="宋体" w:cs="宋体"/>
          <w:sz w:val="28"/>
          <w:szCs w:val="36"/>
        </w:rPr>
      </w:pPr>
      <w:r>
        <w:rPr>
          <w:rFonts w:hint="eastAsia" w:ascii="宋体" w:hAnsi="宋体" w:eastAsia="宋体" w:cs="宋体"/>
          <w:sz w:val="28"/>
          <w:szCs w:val="36"/>
        </w:rPr>
        <w:t>温度循环试验(TC), JESD22-A104 ；</w:t>
      </w:r>
    </w:p>
    <w:p>
      <w:pPr>
        <w:rPr>
          <w:rFonts w:hint="eastAsia" w:ascii="宋体" w:hAnsi="宋体" w:eastAsia="宋体" w:cs="宋体"/>
          <w:sz w:val="28"/>
          <w:szCs w:val="36"/>
        </w:rPr>
      </w:pPr>
      <w:r>
        <w:rPr>
          <w:rFonts w:hint="eastAsia" w:ascii="宋体" w:hAnsi="宋体" w:eastAsia="宋体" w:cs="宋体"/>
          <w:sz w:val="28"/>
          <w:szCs w:val="36"/>
        </w:rPr>
        <w:t>温湿度试验(TH / THB), JESD22-A101 ；</w:t>
      </w:r>
    </w:p>
    <w:p>
      <w:pPr>
        <w:rPr>
          <w:rFonts w:hint="eastAsia" w:ascii="宋体" w:hAnsi="宋体" w:eastAsia="宋体" w:cs="宋体"/>
          <w:sz w:val="28"/>
          <w:szCs w:val="36"/>
        </w:rPr>
      </w:pPr>
      <w:r>
        <w:rPr>
          <w:rFonts w:hint="eastAsia" w:ascii="宋体" w:hAnsi="宋体" w:eastAsia="宋体" w:cs="宋体"/>
          <w:sz w:val="28"/>
          <w:szCs w:val="36"/>
        </w:rPr>
        <w:t>高加速应力试验(HTS</w:t>
      </w:r>
      <w:r>
        <w:rPr>
          <w:rFonts w:hint="eastAsia" w:ascii="宋体" w:hAnsi="宋体" w:eastAsia="宋体" w:cs="宋体"/>
          <w:sz w:val="28"/>
          <w:szCs w:val="36"/>
          <w:lang w:val="en-US" w:eastAsia="zh-CN"/>
        </w:rPr>
        <w:t>L</w:t>
      </w:r>
      <w:r>
        <w:rPr>
          <w:rFonts w:hint="eastAsia" w:ascii="宋体" w:hAnsi="宋体" w:eastAsia="宋体" w:cs="宋体"/>
          <w:sz w:val="28"/>
          <w:szCs w:val="36"/>
        </w:rPr>
        <w:t xml:space="preserve"> / HAST), JESD22-A110； </w:t>
      </w:r>
    </w:p>
    <w:p>
      <w:pPr>
        <w:rPr>
          <w:rFonts w:hint="eastAsia" w:ascii="宋体" w:hAnsi="宋体" w:eastAsia="宋体" w:cs="宋体"/>
          <w:sz w:val="28"/>
          <w:szCs w:val="36"/>
        </w:rPr>
      </w:pPr>
      <w:r>
        <w:rPr>
          <w:rFonts w:hint="eastAsia" w:ascii="宋体" w:hAnsi="宋体" w:eastAsia="宋体" w:cs="宋体"/>
          <w:sz w:val="28"/>
          <w:szCs w:val="36"/>
        </w:rPr>
        <w:t xml:space="preserve">高温老化寿命试验(HTOL), JESD22-A108； </w:t>
      </w:r>
    </w:p>
    <w:p>
      <w:pPr>
        <w:rPr>
          <w:rFonts w:hint="eastAsia" w:ascii="宋体" w:hAnsi="宋体" w:eastAsia="宋体" w:cs="宋体"/>
          <w:b/>
          <w:bCs/>
          <w:sz w:val="28"/>
          <w:szCs w:val="36"/>
        </w:rPr>
      </w:pPr>
      <w:r>
        <w:rPr>
          <w:rFonts w:hint="eastAsia" w:ascii="宋体" w:hAnsi="宋体" w:eastAsia="宋体" w:cs="宋体"/>
          <w:b/>
          <w:bCs/>
          <w:sz w:val="28"/>
          <w:szCs w:val="36"/>
        </w:rPr>
        <w:t>芯片静电测试 ( ESD)：</w:t>
      </w:r>
    </w:p>
    <w:p>
      <w:pPr>
        <w:rPr>
          <w:rFonts w:hint="eastAsia" w:ascii="宋体" w:hAnsi="宋体" w:eastAsia="宋体" w:cs="宋体"/>
          <w:sz w:val="28"/>
          <w:szCs w:val="36"/>
        </w:rPr>
      </w:pPr>
      <w:r>
        <w:rPr>
          <w:rFonts w:hint="eastAsia" w:ascii="宋体" w:hAnsi="宋体" w:eastAsia="宋体" w:cs="宋体"/>
          <w:sz w:val="28"/>
          <w:szCs w:val="36"/>
        </w:rPr>
        <w:t>人体放电模式测试(HBM), JS001 ；</w:t>
      </w:r>
    </w:p>
    <w:p>
      <w:pPr>
        <w:rPr>
          <w:rFonts w:hint="eastAsia" w:ascii="宋体" w:hAnsi="宋体" w:eastAsia="宋体" w:cs="宋体"/>
          <w:sz w:val="28"/>
          <w:szCs w:val="36"/>
        </w:rPr>
      </w:pPr>
      <w:r>
        <w:rPr>
          <w:rFonts w:hint="eastAsia" w:ascii="宋体" w:hAnsi="宋体" w:eastAsia="宋体" w:cs="宋体"/>
          <w:sz w:val="28"/>
          <w:szCs w:val="36"/>
        </w:rPr>
        <w:t>元器件充放电模式测试(CDM), JS002 ；</w:t>
      </w:r>
    </w:p>
    <w:p>
      <w:pPr>
        <w:rPr>
          <w:rFonts w:hint="eastAsia" w:ascii="宋体" w:hAnsi="宋体" w:eastAsia="宋体" w:cs="宋体"/>
          <w:sz w:val="28"/>
          <w:szCs w:val="36"/>
        </w:rPr>
      </w:pPr>
      <w:r>
        <w:rPr>
          <w:rFonts w:hint="eastAsia" w:ascii="宋体" w:hAnsi="宋体" w:eastAsia="宋体" w:cs="宋体"/>
          <w:sz w:val="28"/>
          <w:szCs w:val="36"/>
        </w:rPr>
        <w:t>闩锁测试(LU), JESD78 ；</w:t>
      </w:r>
    </w:p>
    <w:p>
      <w:pPr>
        <w:rPr>
          <w:rFonts w:hint="eastAsia" w:ascii="宋体" w:hAnsi="宋体" w:eastAsia="宋体" w:cs="宋体"/>
          <w:b/>
          <w:bCs/>
          <w:sz w:val="28"/>
          <w:szCs w:val="36"/>
        </w:rPr>
      </w:pPr>
      <w:r>
        <w:rPr>
          <w:rFonts w:hint="eastAsia" w:ascii="宋体" w:hAnsi="宋体" w:eastAsia="宋体" w:cs="宋体"/>
          <w:sz w:val="28"/>
          <w:szCs w:val="36"/>
        </w:rPr>
        <w:t>TLP</w:t>
      </w:r>
      <w:r>
        <w:rPr>
          <w:rFonts w:hint="eastAsia" w:ascii="宋体" w:hAnsi="宋体" w:eastAsia="宋体" w:cs="宋体"/>
          <w:sz w:val="28"/>
          <w:szCs w:val="36"/>
          <w:lang w:eastAsia="zh-CN"/>
        </w:rPr>
        <w:t>；</w:t>
      </w:r>
      <w:r>
        <w:rPr>
          <w:rFonts w:hint="eastAsia" w:ascii="宋体" w:hAnsi="宋体" w:eastAsia="宋体" w:cs="宋体"/>
          <w:sz w:val="28"/>
          <w:szCs w:val="36"/>
        </w:rPr>
        <w:t>Surge / EOS / EFT</w:t>
      </w:r>
      <w:r>
        <w:rPr>
          <w:rFonts w:hint="eastAsia" w:ascii="宋体" w:hAnsi="宋体" w:eastAsia="宋体" w:cs="宋体"/>
          <w:sz w:val="28"/>
          <w:szCs w:val="36"/>
          <w:lang w:eastAsia="zh-CN"/>
        </w:rPr>
        <w:t>；</w:t>
      </w:r>
    </w:p>
    <w:p>
      <w:pPr>
        <w:rPr>
          <w:rFonts w:hint="eastAsia" w:ascii="宋体" w:hAnsi="宋体" w:eastAsia="宋体" w:cs="宋体"/>
          <w:b/>
          <w:bCs/>
          <w:sz w:val="28"/>
          <w:szCs w:val="36"/>
        </w:rPr>
      </w:pPr>
      <w:r>
        <w:rPr>
          <w:rFonts w:hint="eastAsia" w:ascii="宋体" w:hAnsi="宋体" w:eastAsia="宋体" w:cs="宋体"/>
          <w:b/>
          <w:bCs/>
          <w:sz w:val="28"/>
          <w:szCs w:val="36"/>
          <w:lang w:val="en-US" w:eastAsia="zh-CN"/>
        </w:rPr>
        <w:t>芯片IC</w:t>
      </w:r>
      <w:r>
        <w:rPr>
          <w:rFonts w:hint="eastAsia" w:ascii="宋体" w:hAnsi="宋体" w:eastAsia="宋体" w:cs="宋体"/>
          <w:b/>
          <w:bCs/>
          <w:sz w:val="28"/>
          <w:szCs w:val="36"/>
        </w:rPr>
        <w:t xml:space="preserve">失效分析 ( FA)： </w:t>
      </w:r>
    </w:p>
    <w:p>
      <w:pPr>
        <w:rPr>
          <w:rFonts w:hint="eastAsia" w:ascii="宋体" w:hAnsi="宋体" w:eastAsia="宋体" w:cs="宋体"/>
          <w:sz w:val="28"/>
          <w:szCs w:val="36"/>
        </w:rPr>
      </w:pPr>
      <w:r>
        <w:rPr>
          <w:rFonts w:hint="eastAsia" w:ascii="宋体" w:hAnsi="宋体" w:eastAsia="宋体" w:cs="宋体"/>
          <w:sz w:val="28"/>
          <w:szCs w:val="36"/>
        </w:rPr>
        <w:t>光学检查(VI/OM) ；</w:t>
      </w:r>
    </w:p>
    <w:p>
      <w:pPr>
        <w:rPr>
          <w:rFonts w:hint="eastAsia" w:ascii="宋体" w:hAnsi="宋体" w:eastAsia="宋体" w:cs="宋体"/>
          <w:sz w:val="28"/>
          <w:szCs w:val="36"/>
        </w:rPr>
      </w:pPr>
      <w:r>
        <w:rPr>
          <w:rFonts w:hint="eastAsia" w:ascii="宋体" w:hAnsi="宋体" w:eastAsia="宋体" w:cs="宋体"/>
          <w:sz w:val="28"/>
          <w:szCs w:val="36"/>
        </w:rPr>
        <w:t xml:space="preserve">扫描电镜检查(FIB/SEM) </w:t>
      </w:r>
    </w:p>
    <w:p>
      <w:pPr>
        <w:rPr>
          <w:rFonts w:hint="eastAsia" w:ascii="宋体" w:hAnsi="宋体" w:eastAsia="宋体" w:cs="宋体"/>
          <w:sz w:val="28"/>
          <w:szCs w:val="36"/>
        </w:rPr>
      </w:pPr>
      <w:r>
        <w:rPr>
          <w:rFonts w:hint="eastAsia" w:ascii="宋体" w:hAnsi="宋体" w:eastAsia="宋体" w:cs="宋体"/>
          <w:sz w:val="28"/>
          <w:szCs w:val="36"/>
        </w:rPr>
        <w:t>微光分析定位(EMMI/InGaAs)；</w:t>
      </w:r>
    </w:p>
    <w:p>
      <w:pPr>
        <w:rPr>
          <w:rFonts w:hint="eastAsia" w:ascii="宋体" w:hAnsi="宋体" w:eastAsia="宋体" w:cs="宋体"/>
          <w:sz w:val="28"/>
          <w:szCs w:val="36"/>
        </w:rPr>
      </w:pPr>
      <w:r>
        <w:rPr>
          <w:rFonts w:hint="eastAsia" w:ascii="宋体" w:hAnsi="宋体" w:eastAsia="宋体" w:cs="宋体"/>
          <w:sz w:val="28"/>
          <w:szCs w:val="36"/>
        </w:rPr>
        <w:t>OBIRCH ；Micro-probe;</w:t>
      </w:r>
    </w:p>
    <w:p>
      <w:pPr>
        <w:rPr>
          <w:rFonts w:hint="eastAsia" w:ascii="宋体" w:hAnsi="宋体" w:eastAsia="宋体" w:cs="宋体"/>
          <w:sz w:val="28"/>
          <w:szCs w:val="36"/>
        </w:rPr>
      </w:pPr>
      <w:r>
        <w:rPr>
          <w:rFonts w:hint="eastAsia" w:ascii="宋体" w:hAnsi="宋体" w:eastAsia="宋体" w:cs="宋体"/>
          <w:b/>
          <w:bCs/>
          <w:sz w:val="28"/>
          <w:szCs w:val="36"/>
        </w:rPr>
        <w:t>聚焦离子束微观分析(FIB)</w:t>
      </w:r>
      <w:r>
        <w:rPr>
          <w:rFonts w:hint="eastAsia" w:ascii="宋体" w:hAnsi="宋体" w:eastAsia="宋体" w:cs="宋体"/>
          <w:b/>
          <w:bCs/>
          <w:sz w:val="28"/>
          <w:szCs w:val="36"/>
          <w:lang w:eastAsia="zh-CN"/>
        </w:rPr>
        <w:t>；</w:t>
      </w:r>
      <w:r>
        <w:rPr>
          <w:rFonts w:hint="eastAsia" w:ascii="宋体" w:hAnsi="宋体" w:eastAsia="宋体" w:cs="宋体"/>
          <w:sz w:val="28"/>
          <w:szCs w:val="36"/>
        </w:rPr>
        <w:t xml:space="preserve"> </w:t>
      </w:r>
    </w:p>
    <w:p>
      <w:pPr>
        <w:rPr>
          <w:rFonts w:hint="eastAsia" w:ascii="宋体" w:hAnsi="宋体" w:eastAsia="宋体" w:cs="宋体"/>
          <w:sz w:val="28"/>
          <w:szCs w:val="36"/>
        </w:rPr>
      </w:pPr>
      <w:r>
        <w:rPr>
          <w:rFonts w:hint="eastAsia" w:ascii="宋体" w:hAnsi="宋体" w:eastAsia="宋体" w:cs="宋体"/>
          <w:sz w:val="28"/>
          <w:szCs w:val="36"/>
        </w:rPr>
        <w:t xml:space="preserve">弹坑试验(cratering) </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芯片开封(decap) ；</w:t>
      </w:r>
    </w:p>
    <w:p>
      <w:pPr>
        <w:rPr>
          <w:rFonts w:hint="eastAsia" w:ascii="宋体" w:hAnsi="宋体" w:eastAsia="宋体" w:cs="宋体"/>
          <w:sz w:val="28"/>
          <w:szCs w:val="36"/>
          <w:lang w:eastAsia="zh-CN"/>
        </w:rPr>
      </w:pPr>
      <w:r>
        <w:rPr>
          <w:rFonts w:hint="eastAsia" w:ascii="宋体" w:hAnsi="宋体" w:eastAsia="宋体" w:cs="宋体"/>
          <w:sz w:val="28"/>
          <w:szCs w:val="36"/>
        </w:rPr>
        <w:t>芯片去层(delayer)</w:t>
      </w:r>
      <w:r>
        <w:rPr>
          <w:rFonts w:hint="eastAsia" w:ascii="宋体" w:hAnsi="宋体" w:eastAsia="宋体" w:cs="宋体"/>
          <w:sz w:val="28"/>
          <w:szCs w:val="36"/>
          <w:lang w:eastAsia="zh-CN"/>
        </w:rPr>
        <w:t>；</w:t>
      </w:r>
      <w:r>
        <w:rPr>
          <w:rFonts w:hint="eastAsia" w:ascii="宋体" w:hAnsi="宋体" w:eastAsia="宋体" w:cs="宋体"/>
          <w:sz w:val="28"/>
          <w:szCs w:val="36"/>
        </w:rPr>
        <w:t>晶格缺陷试验(化学法)</w:t>
      </w:r>
      <w:r>
        <w:rPr>
          <w:rFonts w:hint="eastAsia" w:ascii="宋体" w:hAnsi="宋体" w:eastAsia="宋体" w:cs="宋体"/>
          <w:sz w:val="28"/>
          <w:szCs w:val="36"/>
          <w:lang w:eastAsia="zh-CN"/>
        </w:rPr>
        <w:t>；</w:t>
      </w:r>
    </w:p>
    <w:p>
      <w:pPr>
        <w:rPr>
          <w:rFonts w:hint="eastAsia" w:ascii="宋体" w:hAnsi="宋体" w:eastAsia="宋体" w:cs="宋体"/>
          <w:sz w:val="28"/>
          <w:szCs w:val="36"/>
          <w:lang w:eastAsia="zh-CN"/>
        </w:rPr>
      </w:pPr>
      <w:r>
        <w:rPr>
          <w:rFonts w:hint="eastAsia" w:ascii="宋体" w:hAnsi="宋体" w:eastAsia="宋体" w:cs="宋体"/>
          <w:sz w:val="28"/>
          <w:szCs w:val="36"/>
        </w:rPr>
        <w:t>PN结染色 / 码染色试验</w:t>
      </w:r>
      <w:r>
        <w:rPr>
          <w:rFonts w:hint="eastAsia" w:ascii="宋体" w:hAnsi="宋体" w:eastAsia="宋体" w:cs="宋体"/>
          <w:sz w:val="28"/>
          <w:szCs w:val="36"/>
          <w:lang w:eastAsia="zh-CN"/>
        </w:rPr>
        <w:t>；</w:t>
      </w:r>
    </w:p>
    <w:p>
      <w:pPr>
        <w:rPr>
          <w:rFonts w:hint="eastAsia" w:ascii="宋体" w:hAnsi="宋体" w:eastAsia="宋体" w:cs="宋体"/>
          <w:sz w:val="28"/>
          <w:szCs w:val="36"/>
          <w:lang w:eastAsia="zh-CN"/>
        </w:rPr>
      </w:pPr>
      <w:r>
        <w:rPr>
          <w:rFonts w:hint="eastAsia" w:ascii="宋体" w:hAnsi="宋体" w:eastAsia="宋体" w:cs="宋体"/>
          <w:sz w:val="28"/>
          <w:szCs w:val="36"/>
        </w:rPr>
        <w:t>推拉力测试(WBP/WBS)</w:t>
      </w:r>
      <w:r>
        <w:rPr>
          <w:rFonts w:hint="eastAsia" w:ascii="宋体" w:hAnsi="宋体" w:eastAsia="宋体" w:cs="宋体"/>
          <w:sz w:val="28"/>
          <w:szCs w:val="36"/>
          <w:lang w:eastAsia="zh-CN"/>
        </w:rPr>
        <w:t>；</w:t>
      </w:r>
      <w:r>
        <w:rPr>
          <w:rFonts w:hint="eastAsia" w:ascii="宋体" w:hAnsi="宋体" w:eastAsia="宋体" w:cs="宋体"/>
          <w:sz w:val="28"/>
          <w:szCs w:val="36"/>
        </w:rPr>
        <w:t>红墨水试验</w:t>
      </w:r>
      <w:r>
        <w:rPr>
          <w:rFonts w:hint="eastAsia" w:ascii="宋体" w:hAnsi="宋体" w:eastAsia="宋体" w:cs="宋体"/>
          <w:sz w:val="28"/>
          <w:szCs w:val="36"/>
          <w:lang w:eastAsia="zh-CN"/>
        </w:rPr>
        <w:t>：</w:t>
      </w:r>
    </w:p>
    <w:p>
      <w:pPr>
        <w:rPr>
          <w:rFonts w:hint="eastAsia" w:ascii="宋体" w:hAnsi="宋体" w:eastAsia="宋体" w:cs="宋体"/>
          <w:sz w:val="28"/>
          <w:szCs w:val="36"/>
        </w:rPr>
      </w:pPr>
      <w:r>
        <w:rPr>
          <w:rFonts w:hint="eastAsia" w:ascii="宋体" w:hAnsi="宋体" w:eastAsia="宋体" w:cs="宋体"/>
          <w:sz w:val="28"/>
          <w:szCs w:val="36"/>
        </w:rPr>
        <w:t>PCBA切片分析(X-section)</w:t>
      </w:r>
      <w:r>
        <w:rPr>
          <w:rFonts w:hint="eastAsia" w:ascii="宋体" w:hAnsi="宋体" w:eastAsia="宋体" w:cs="宋体"/>
          <w:sz w:val="28"/>
          <w:szCs w:val="36"/>
          <w:lang w:eastAsia="zh-CN"/>
        </w:rPr>
        <w:t>；</w:t>
      </w:r>
    </w:p>
    <w:p>
      <w:pPr>
        <w:rPr>
          <w:rFonts w:hint="eastAsia" w:ascii="宋体" w:hAnsi="宋体" w:eastAsia="宋体" w:cs="宋体"/>
          <w:b/>
          <w:bCs/>
          <w:sz w:val="28"/>
          <w:szCs w:val="36"/>
          <w:lang w:eastAsia="zh-CN"/>
        </w:rPr>
      </w:pPr>
      <w:r>
        <w:rPr>
          <w:rFonts w:hint="eastAsia" w:ascii="宋体" w:hAnsi="宋体" w:eastAsia="宋体" w:cs="宋体"/>
          <w:b/>
          <w:bCs/>
          <w:sz w:val="28"/>
          <w:szCs w:val="36"/>
          <w:lang w:val="en-US" w:eastAsia="zh-CN"/>
        </w:rPr>
        <w:t>芯片</w:t>
      </w:r>
      <w:r>
        <w:rPr>
          <w:rFonts w:hint="eastAsia" w:ascii="宋体" w:hAnsi="宋体" w:eastAsia="宋体" w:cs="宋体"/>
          <w:b/>
          <w:bCs/>
          <w:sz w:val="28"/>
          <w:szCs w:val="36"/>
        </w:rPr>
        <w:t>材料分析</w:t>
      </w:r>
      <w:r>
        <w:rPr>
          <w:rFonts w:hint="eastAsia" w:ascii="宋体" w:hAnsi="宋体" w:eastAsia="宋体" w:cs="宋体"/>
          <w:b/>
          <w:bCs/>
          <w:sz w:val="28"/>
          <w:szCs w:val="36"/>
          <w:lang w:eastAsia="zh-CN"/>
        </w:rPr>
        <w:t>：</w:t>
      </w:r>
    </w:p>
    <w:p>
      <w:pPr>
        <w:rPr>
          <w:rFonts w:hint="eastAsia" w:ascii="宋体" w:hAnsi="宋体" w:eastAsia="宋体" w:cs="宋体"/>
          <w:sz w:val="28"/>
          <w:szCs w:val="36"/>
          <w:lang w:eastAsia="zh-CN"/>
        </w:rPr>
      </w:pPr>
      <w:r>
        <w:rPr>
          <w:rFonts w:hint="eastAsia" w:ascii="宋体" w:hAnsi="宋体" w:eastAsia="宋体" w:cs="宋体"/>
          <w:sz w:val="28"/>
          <w:szCs w:val="36"/>
        </w:rPr>
        <w:t>高分辨TEM (形貌、膜厚测量、电子衍射、STEM、HAADF)</w:t>
      </w:r>
      <w:r>
        <w:rPr>
          <w:rFonts w:hint="eastAsia" w:ascii="宋体" w:hAnsi="宋体" w:eastAsia="宋体" w:cs="宋体"/>
          <w:sz w:val="28"/>
          <w:szCs w:val="36"/>
          <w:lang w:eastAsia="zh-CN"/>
        </w:rPr>
        <w:t>；</w:t>
      </w:r>
    </w:p>
    <w:p>
      <w:pPr>
        <w:rPr>
          <w:rFonts w:hint="eastAsia" w:ascii="宋体" w:hAnsi="宋体" w:eastAsia="宋体" w:cs="宋体"/>
          <w:sz w:val="28"/>
          <w:szCs w:val="36"/>
          <w:lang w:eastAsia="zh-CN"/>
        </w:rPr>
      </w:pPr>
      <w:r>
        <w:rPr>
          <w:rFonts w:hint="eastAsia" w:ascii="宋体" w:hAnsi="宋体" w:eastAsia="宋体" w:cs="宋体"/>
          <w:sz w:val="28"/>
          <w:szCs w:val="36"/>
        </w:rPr>
        <w:t>SEM (形貌观察、截面观察、膜厚测量、EBSD)</w:t>
      </w:r>
      <w:r>
        <w:rPr>
          <w:rFonts w:hint="eastAsia" w:ascii="宋体" w:hAnsi="宋体" w:eastAsia="宋体" w:cs="宋体"/>
          <w:sz w:val="28"/>
          <w:szCs w:val="36"/>
          <w:lang w:eastAsia="zh-CN"/>
        </w:rPr>
        <w:t>；</w:t>
      </w:r>
    </w:p>
    <w:p>
      <w:pPr>
        <w:rPr>
          <w:rFonts w:hint="eastAsia" w:ascii="宋体" w:hAnsi="宋体" w:eastAsia="宋体" w:cs="宋体"/>
          <w:sz w:val="28"/>
          <w:szCs w:val="36"/>
          <w:lang w:eastAsia="zh-CN"/>
        </w:rPr>
      </w:pPr>
      <w:r>
        <w:rPr>
          <w:rFonts w:hint="eastAsia" w:ascii="宋体" w:hAnsi="宋体" w:eastAsia="宋体" w:cs="宋体"/>
          <w:sz w:val="28"/>
          <w:szCs w:val="36"/>
        </w:rPr>
        <w:t>Raman (Raman光谱)</w:t>
      </w:r>
      <w:r>
        <w:rPr>
          <w:rFonts w:hint="eastAsia" w:ascii="宋体" w:hAnsi="宋体" w:eastAsia="宋体" w:cs="宋体"/>
          <w:sz w:val="28"/>
          <w:szCs w:val="36"/>
          <w:lang w:eastAsia="zh-CN"/>
        </w:rPr>
        <w:t>；</w:t>
      </w:r>
      <w:r>
        <w:rPr>
          <w:rFonts w:hint="eastAsia" w:ascii="宋体" w:hAnsi="宋体" w:eastAsia="宋体" w:cs="宋体"/>
          <w:sz w:val="28"/>
          <w:szCs w:val="36"/>
        </w:rPr>
        <w:t>AFM (微观表面形貌分析、台阶测量)</w:t>
      </w:r>
      <w:r>
        <w:rPr>
          <w:rFonts w:hint="eastAsia" w:ascii="宋体" w:hAnsi="宋体" w:eastAsia="宋体" w:cs="宋体"/>
          <w:sz w:val="28"/>
          <w:szCs w:val="36"/>
          <w:lang w:eastAsia="zh-CN"/>
        </w:rPr>
        <w:t>；</w:t>
      </w:r>
    </w:p>
    <w:p>
      <w:pPr>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w:t>
      </w:r>
    </w:p>
    <w:p>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芯片检测业务：</w:t>
      </w:r>
    </w:p>
    <w:p>
      <w:p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李绍政 13808840060；020-66837067</w:t>
      </w:r>
    </w:p>
    <w:p>
      <w:pPr>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lisz@grgtest.com</w:t>
      </w:r>
    </w:p>
    <w:p>
      <w:pPr>
        <w:rPr>
          <w:rFonts w:hint="eastAsia" w:ascii="宋体" w:hAnsi="宋体" w:eastAsia="宋体" w:cs="宋体"/>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964E49"/>
    <w:multiLevelType w:val="singleLevel"/>
    <w:tmpl w:val="FF964E49"/>
    <w:lvl w:ilvl="0" w:tentative="0">
      <w:start w:val="1"/>
      <w:numFmt w:val="decimal"/>
      <w:lvlText w:val="%1."/>
      <w:lvlJc w:val="left"/>
      <w:pPr>
        <w:ind w:left="425" w:hanging="425"/>
      </w:pPr>
      <w:rPr>
        <w:rFonts w:hint="default"/>
      </w:rPr>
    </w:lvl>
  </w:abstractNum>
  <w:abstractNum w:abstractNumId="1">
    <w:nsid w:val="79A9ACB2"/>
    <w:multiLevelType w:val="singleLevel"/>
    <w:tmpl w:val="79A9ACB2"/>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E6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97385</dc:creator>
  <cp:lastModifiedBy>政</cp:lastModifiedBy>
  <dcterms:modified xsi:type="dcterms:W3CDTF">2020-08-11T07:47:05Z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