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47D" w:rsidRDefault="00B9347D" w:rsidP="00B9347D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本</w:t>
      </w:r>
      <w:r>
        <w:t>项目需求为公司项目</w:t>
      </w:r>
      <w:r>
        <w:rPr>
          <w:rFonts w:hint="eastAsia"/>
        </w:rPr>
        <w:t>外委</w:t>
      </w:r>
      <w:r>
        <w:t>，</w:t>
      </w:r>
      <w:r>
        <w:rPr>
          <w:rFonts w:hint="eastAsia"/>
        </w:rPr>
        <w:t>签订</w:t>
      </w:r>
      <w:r>
        <w:t>开发合同，诚寻找有经验的</w:t>
      </w:r>
      <w:r>
        <w:rPr>
          <w:rFonts w:hint="eastAsia"/>
        </w:rPr>
        <w:t>开发</w:t>
      </w:r>
      <w:r>
        <w:t>团队。</w:t>
      </w:r>
    </w:p>
    <w:p w:rsidR="00B9347D" w:rsidRDefault="00B9347D" w:rsidP="00B9347D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需求</w:t>
      </w:r>
      <w:r>
        <w:t>参数见下文所示，</w:t>
      </w:r>
      <w:r w:rsidR="00D83A21">
        <w:rPr>
          <w:rFonts w:hint="eastAsia"/>
        </w:rPr>
        <w:t>主要</w:t>
      </w:r>
      <w:r w:rsidR="00D83A21">
        <w:t>涉及</w:t>
      </w:r>
      <w:r w:rsidR="00D83A21">
        <w:rPr>
          <w:rFonts w:hint="eastAsia"/>
        </w:rPr>
        <w:t>总磷</w:t>
      </w:r>
      <w:r w:rsidR="00D83A21">
        <w:t>、总氮、氨氮、</w:t>
      </w:r>
      <w:r w:rsidR="00D83A21">
        <w:rPr>
          <w:rFonts w:hint="eastAsia"/>
        </w:rPr>
        <w:t>COD</w:t>
      </w:r>
      <w:r w:rsidR="00D83A21">
        <w:rPr>
          <w:rFonts w:hint="eastAsia"/>
        </w:rPr>
        <w:t>在线</w:t>
      </w:r>
      <w:r w:rsidR="00D83A21">
        <w:t>监测设备。</w:t>
      </w:r>
      <w:r w:rsidR="00D83A21">
        <w:rPr>
          <w:rFonts w:hint="eastAsia"/>
        </w:rPr>
        <w:t>项目</w:t>
      </w:r>
      <w:r>
        <w:rPr>
          <w:rFonts w:hint="eastAsia"/>
        </w:rPr>
        <w:t>开发</w:t>
      </w:r>
      <w:r>
        <w:t>完成后，</w:t>
      </w:r>
      <w:r>
        <w:rPr>
          <w:rFonts w:hint="eastAsia"/>
        </w:rPr>
        <w:t>需提供</w:t>
      </w:r>
      <w:r>
        <w:t>所有技术资料、生产资料、设计源码、技术维护资料等详细技术资料。</w:t>
      </w:r>
    </w:p>
    <w:p w:rsidR="0047765F" w:rsidRDefault="0047765F" w:rsidP="00B9347D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开发</w:t>
      </w:r>
      <w:r>
        <w:t>费用</w:t>
      </w:r>
      <w:r>
        <w:rPr>
          <w:rFonts w:hint="eastAsia"/>
        </w:rPr>
        <w:t>、</w:t>
      </w:r>
      <w:r>
        <w:t>周期具体讨论。</w:t>
      </w:r>
    </w:p>
    <w:p w:rsidR="00D83A21" w:rsidRDefault="00D83A21" w:rsidP="00D83A21">
      <w:pPr>
        <w:ind w:firstLine="480"/>
      </w:pPr>
      <w:r>
        <w:rPr>
          <w:rFonts w:hint="eastAsia"/>
        </w:rPr>
        <w:t>4.</w:t>
      </w:r>
      <w:r w:rsidRPr="00D83A21">
        <w:t xml:space="preserve"> </w:t>
      </w:r>
      <w:r>
        <w:rPr>
          <w:rFonts w:hint="eastAsia"/>
        </w:rPr>
        <w:t>设备需</w:t>
      </w:r>
      <w:r>
        <w:t>依据如下</w:t>
      </w:r>
      <w:r>
        <w:rPr>
          <w:rFonts w:hint="eastAsia"/>
        </w:rPr>
        <w:t>现有</w:t>
      </w:r>
      <w:r>
        <w:t>标准规范</w:t>
      </w:r>
      <w:r>
        <w:t>：</w:t>
      </w:r>
      <w:bookmarkStart w:id="0" w:name="_GoBack"/>
      <w:bookmarkEnd w:id="0"/>
    </w:p>
    <w:p w:rsidR="00D83A21" w:rsidRDefault="00D83A21" w:rsidP="00D83A21">
      <w:pPr>
        <w:ind w:firstLine="480"/>
      </w:pPr>
      <w:r>
        <w:rPr>
          <w:rFonts w:hint="eastAsia"/>
        </w:rPr>
        <w:t>①</w:t>
      </w:r>
      <w:r>
        <w:rPr>
          <w:rFonts w:hint="eastAsia"/>
        </w:rPr>
        <w:t>.</w:t>
      </w:r>
      <w:r>
        <w:t>《环境信息网络建设规范》（</w:t>
      </w:r>
      <w:r>
        <w:t>HJ460-2009</w:t>
      </w:r>
      <w:r>
        <w:t>）；</w:t>
      </w:r>
    </w:p>
    <w:p w:rsidR="00D83A21" w:rsidRDefault="00D83A21" w:rsidP="00D83A21">
      <w:pPr>
        <w:ind w:firstLine="480"/>
      </w:pPr>
      <w:r>
        <w:rPr>
          <w:rFonts w:hint="eastAsia"/>
        </w:rPr>
        <w:t>②</w:t>
      </w:r>
      <w:r>
        <w:rPr>
          <w:rFonts w:hint="eastAsia"/>
        </w:rPr>
        <w:t>.</w:t>
      </w:r>
      <w:r>
        <w:t>《环境保护应用软件开发管理技术规范》（</w:t>
      </w:r>
      <w:r>
        <w:t>HJ622-2011</w:t>
      </w:r>
      <w:r>
        <w:t>）；</w:t>
      </w:r>
    </w:p>
    <w:p w:rsidR="00D83A21" w:rsidRDefault="00D83A21" w:rsidP="00D83A21">
      <w:pPr>
        <w:ind w:firstLine="480"/>
      </w:pPr>
      <w:r>
        <w:rPr>
          <w:rFonts w:hint="eastAsia"/>
        </w:rPr>
        <w:t>③</w:t>
      </w:r>
      <w:r>
        <w:rPr>
          <w:rFonts w:hint="eastAsia"/>
        </w:rPr>
        <w:t>.</w:t>
      </w:r>
      <w:r>
        <w:t>《污染源在线自动监控监测系统数据传输标准》（</w:t>
      </w:r>
      <w:r>
        <w:t>2122005</w:t>
      </w:r>
      <w:r>
        <w:t>）；</w:t>
      </w:r>
    </w:p>
    <w:p w:rsidR="00D83A21" w:rsidRDefault="00D83A21" w:rsidP="00D83A21">
      <w:pPr>
        <w:ind w:firstLine="480"/>
        <w:rPr>
          <w:rFonts w:hint="eastAsia"/>
        </w:rPr>
      </w:pPr>
      <w:r>
        <w:rPr>
          <w:rFonts w:hint="eastAsia"/>
        </w:rPr>
        <w:t>④</w:t>
      </w:r>
      <w:r>
        <w:rPr>
          <w:rFonts w:hint="eastAsia"/>
        </w:rPr>
        <w:t>.</w:t>
      </w:r>
      <w:r>
        <w:t>《环境污染源自动监控信息传输、交换技术规范》（</w:t>
      </w:r>
      <w:r>
        <w:t>HJ_T352-2007</w:t>
      </w:r>
      <w:r>
        <w:t>）；</w:t>
      </w:r>
    </w:p>
    <w:p w:rsidR="00B9347D" w:rsidRPr="00D83A21" w:rsidRDefault="00B9347D" w:rsidP="00B9347D">
      <w:pPr>
        <w:pStyle w:val="a5"/>
        <w:ind w:firstLine="480"/>
      </w:pPr>
    </w:p>
    <w:p w:rsidR="00B9347D" w:rsidRDefault="00B9347D" w:rsidP="00D83A21">
      <w:pPr>
        <w:pStyle w:val="a5"/>
        <w:ind w:firstLineChars="0" w:firstLine="0"/>
        <w:rPr>
          <w:rFonts w:hint="eastAsia"/>
        </w:rPr>
      </w:pPr>
    </w:p>
    <w:p w:rsidR="00B9347D" w:rsidRDefault="00B9347D" w:rsidP="00B9347D">
      <w:pPr>
        <w:ind w:firstLine="480"/>
      </w:pPr>
      <w:r>
        <w:rPr>
          <w:rFonts w:hint="eastAsia"/>
        </w:rPr>
        <w:t>如下所示为</w:t>
      </w:r>
      <w:r>
        <w:rPr>
          <w:rFonts w:hint="eastAsia"/>
        </w:rPr>
        <w:t>PH</w:t>
      </w:r>
      <w:r>
        <w:rPr>
          <w:rFonts w:hint="eastAsia"/>
        </w:rPr>
        <w:t>、溶解氧监测设备相关技术参数：</w:t>
      </w:r>
    </w:p>
    <w:p w:rsidR="00B9347D" w:rsidRDefault="00B9347D" w:rsidP="00B9347D">
      <w:pPr>
        <w:pStyle w:val="a6"/>
        <w:spacing w:after="156"/>
      </w:pPr>
      <w:r>
        <w:t>表6.3.1-1监测设备相关技术参数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4937"/>
        <w:gridCol w:w="2296"/>
      </w:tblGrid>
      <w:tr w:rsidR="00B9347D" w:rsidTr="00793777">
        <w:trPr>
          <w:trHeight w:val="476"/>
          <w:jc w:val="center"/>
        </w:trPr>
        <w:tc>
          <w:tcPr>
            <w:tcW w:w="1867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仪器设备名称</w:t>
            </w:r>
          </w:p>
        </w:tc>
        <w:tc>
          <w:tcPr>
            <w:tcW w:w="4330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设备参数指标</w:t>
            </w:r>
          </w:p>
        </w:tc>
        <w:tc>
          <w:tcPr>
            <w:tcW w:w="2014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设备图片</w:t>
            </w:r>
          </w:p>
        </w:tc>
      </w:tr>
      <w:tr w:rsidR="00B9347D" w:rsidTr="00793777">
        <w:trPr>
          <w:trHeight w:val="1887"/>
          <w:jc w:val="center"/>
        </w:trPr>
        <w:tc>
          <w:tcPr>
            <w:tcW w:w="1867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控制器</w:t>
            </w:r>
          </w:p>
        </w:tc>
        <w:tc>
          <w:tcPr>
            <w:tcW w:w="4330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显示屏类型：工业级触摸屏；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使用触摸屏操作，具有中文界面，高亮度、宽视角；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显示屏分辨率：</w:t>
            </w:r>
            <w:r>
              <w:rPr>
                <w:rFonts w:hint="eastAsia"/>
                <w:sz w:val="21"/>
                <w:szCs w:val="21"/>
              </w:rPr>
              <w:t>800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480</w:t>
            </w:r>
            <w:r>
              <w:rPr>
                <w:rFonts w:hint="eastAsia"/>
                <w:sz w:val="21"/>
                <w:szCs w:val="21"/>
              </w:rPr>
              <w:t>像素；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安全等级：密码保护；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传感器输入：</w:t>
            </w:r>
            <w:r>
              <w:rPr>
                <w:rFonts w:hint="eastAsia"/>
                <w:sz w:val="21"/>
                <w:szCs w:val="21"/>
              </w:rPr>
              <w:t>1-8</w:t>
            </w:r>
            <w:r>
              <w:rPr>
                <w:rFonts w:hint="eastAsia"/>
                <w:sz w:val="21"/>
                <w:szCs w:val="21"/>
              </w:rPr>
              <w:t>通道；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模拟输出：标配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路模拟的</w:t>
            </w:r>
            <w:r>
              <w:rPr>
                <w:rFonts w:hint="eastAsia"/>
                <w:sz w:val="21"/>
                <w:szCs w:val="21"/>
              </w:rPr>
              <w:t>4-20mA</w:t>
            </w:r>
            <w:r>
              <w:rPr>
                <w:rFonts w:hint="eastAsia"/>
                <w:sz w:val="21"/>
                <w:szCs w:val="21"/>
              </w:rPr>
              <w:t>输出信号（可扩展至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路）；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数字输出：标配</w:t>
            </w:r>
            <w:r>
              <w:rPr>
                <w:rFonts w:hint="eastAsia"/>
                <w:sz w:val="21"/>
                <w:szCs w:val="21"/>
              </w:rPr>
              <w:t>RS485</w:t>
            </w:r>
            <w:r>
              <w:rPr>
                <w:rFonts w:hint="eastAsia"/>
                <w:sz w:val="21"/>
                <w:szCs w:val="21"/>
              </w:rPr>
              <w:t>，可选配</w:t>
            </w:r>
            <w:r>
              <w:rPr>
                <w:rFonts w:hint="eastAsia"/>
                <w:sz w:val="21"/>
                <w:szCs w:val="21"/>
              </w:rPr>
              <w:t>RS232</w:t>
            </w:r>
            <w:r>
              <w:rPr>
                <w:rFonts w:hint="eastAsia"/>
                <w:sz w:val="21"/>
                <w:szCs w:val="21"/>
              </w:rPr>
              <w:t>、以太网；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通讯协议：</w:t>
            </w:r>
            <w:r>
              <w:rPr>
                <w:rFonts w:hint="eastAsia"/>
                <w:sz w:val="21"/>
                <w:szCs w:val="21"/>
              </w:rPr>
              <w:t xml:space="preserve">MODBUS </w:t>
            </w:r>
            <w:r>
              <w:rPr>
                <w:rFonts w:hint="eastAsia"/>
                <w:sz w:val="21"/>
                <w:szCs w:val="21"/>
              </w:rPr>
              <w:t>，可选配</w:t>
            </w:r>
            <w:r>
              <w:rPr>
                <w:rFonts w:hint="eastAsia"/>
                <w:sz w:val="21"/>
                <w:szCs w:val="21"/>
              </w:rPr>
              <w:t>Profibus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DPV1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Hart</w:t>
            </w:r>
            <w:r>
              <w:rPr>
                <w:rFonts w:hint="eastAsia"/>
                <w:sz w:val="21"/>
                <w:szCs w:val="21"/>
              </w:rPr>
              <w:t>等协议；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继电器输出：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路；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实时测量曲线显示功能，便于数据分析；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数据存储：每个通道</w:t>
            </w:r>
            <w:r>
              <w:rPr>
                <w:rFonts w:hint="eastAsia"/>
                <w:sz w:val="21"/>
                <w:szCs w:val="21"/>
              </w:rPr>
              <w:t>60000</w:t>
            </w:r>
            <w:r>
              <w:rPr>
                <w:rFonts w:hint="eastAsia"/>
                <w:sz w:val="21"/>
                <w:szCs w:val="21"/>
              </w:rPr>
              <w:t>组数据，数据可导出；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具有历史数据查询功能，并以曲线显示出来，点击曲线能显示详细查询信息；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外壳防护等级：</w:t>
            </w:r>
            <w:r>
              <w:rPr>
                <w:rFonts w:hint="eastAsia"/>
                <w:sz w:val="21"/>
                <w:szCs w:val="21"/>
              </w:rPr>
              <w:t xml:space="preserve"> IP66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2014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19696D4A" wp14:editId="7C927530">
                  <wp:extent cx="1140460" cy="1073785"/>
                  <wp:effectExtent l="0" t="0" r="2540" b="1206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47D" w:rsidTr="00793777">
        <w:trPr>
          <w:trHeight w:val="841"/>
          <w:jc w:val="center"/>
        </w:trPr>
        <w:tc>
          <w:tcPr>
            <w:tcW w:w="1867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PH</w:t>
            </w:r>
          </w:p>
        </w:tc>
        <w:tc>
          <w:tcPr>
            <w:tcW w:w="4330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工作原理：玻璃电极法；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量程：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>14pH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重复性：±</w:t>
            </w:r>
            <w:r>
              <w:rPr>
                <w:rFonts w:hint="eastAsia"/>
                <w:sz w:val="21"/>
                <w:szCs w:val="21"/>
              </w:rPr>
              <w:t>0.1 pH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响应时间：≤</w:t>
            </w:r>
            <w:r>
              <w:rPr>
                <w:rFonts w:hint="eastAsia"/>
                <w:sz w:val="21"/>
                <w:szCs w:val="21"/>
              </w:rPr>
              <w:t>30 s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温度补偿精度：±</w:t>
            </w:r>
            <w:r>
              <w:rPr>
                <w:rFonts w:hint="eastAsia"/>
                <w:sz w:val="21"/>
                <w:szCs w:val="21"/>
              </w:rPr>
              <w:t>0.1 pH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MTBF</w:t>
            </w:r>
            <w:r>
              <w:rPr>
                <w:rFonts w:hint="eastAsia"/>
                <w:sz w:val="21"/>
                <w:szCs w:val="21"/>
              </w:rPr>
              <w:t>：≥</w:t>
            </w:r>
            <w:r>
              <w:rPr>
                <w:rFonts w:hint="eastAsia"/>
                <w:sz w:val="21"/>
                <w:szCs w:val="21"/>
              </w:rPr>
              <w:t>720 h/</w:t>
            </w:r>
            <w:r>
              <w:rPr>
                <w:rFonts w:hint="eastAsia"/>
                <w:sz w:val="21"/>
                <w:szCs w:val="21"/>
              </w:rPr>
              <w:t>次；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防护等级：</w:t>
            </w:r>
            <w:r>
              <w:rPr>
                <w:rFonts w:hint="eastAsia"/>
                <w:sz w:val="21"/>
                <w:szCs w:val="21"/>
              </w:rPr>
              <w:t>IP68</w:t>
            </w:r>
            <w:r>
              <w:rPr>
                <w:rFonts w:hint="eastAsia"/>
                <w:sz w:val="21"/>
                <w:szCs w:val="21"/>
              </w:rPr>
              <w:t>；。</w:t>
            </w:r>
          </w:p>
        </w:tc>
        <w:tc>
          <w:tcPr>
            <w:tcW w:w="2014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19A6B351" wp14:editId="2B39EE16">
                  <wp:extent cx="94615" cy="687705"/>
                  <wp:effectExtent l="0" t="0" r="635" b="17145"/>
                  <wp:docPr id="38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5217" r="139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47D" w:rsidTr="00793777">
        <w:trPr>
          <w:trHeight w:val="995"/>
          <w:jc w:val="center"/>
        </w:trPr>
        <w:tc>
          <w:tcPr>
            <w:tcW w:w="1867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溶解氧</w:t>
            </w:r>
          </w:p>
        </w:tc>
        <w:tc>
          <w:tcPr>
            <w:tcW w:w="4330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工作原理：荧光法；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量程：</w:t>
            </w:r>
            <w:r>
              <w:rPr>
                <w:rFonts w:hint="eastAsia"/>
                <w:sz w:val="21"/>
                <w:szCs w:val="21"/>
              </w:rPr>
              <w:t>0-20mg/L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ppm</w:t>
            </w:r>
            <w:r>
              <w:rPr>
                <w:rFonts w:hint="eastAsia"/>
                <w:sz w:val="21"/>
                <w:szCs w:val="21"/>
              </w:rPr>
              <w:t>）、</w:t>
            </w:r>
            <w:r>
              <w:rPr>
                <w:rFonts w:hint="eastAsia"/>
                <w:sz w:val="21"/>
                <w:szCs w:val="21"/>
              </w:rPr>
              <w:t>0-200%</w:t>
            </w:r>
            <w:r>
              <w:rPr>
                <w:rFonts w:hint="eastAsia"/>
                <w:sz w:val="21"/>
                <w:szCs w:val="21"/>
              </w:rPr>
              <w:t>饱和度；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重复性：±</w:t>
            </w:r>
            <w:r>
              <w:rPr>
                <w:rFonts w:hint="eastAsia"/>
                <w:sz w:val="21"/>
                <w:szCs w:val="21"/>
              </w:rPr>
              <w:t>0.3 mg/L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零点漂移：±</w:t>
            </w:r>
            <w:r>
              <w:rPr>
                <w:rFonts w:hint="eastAsia"/>
                <w:sz w:val="21"/>
                <w:szCs w:val="21"/>
              </w:rPr>
              <w:t>0.3 mg/L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量程漂移：±</w:t>
            </w:r>
            <w:r>
              <w:rPr>
                <w:rFonts w:hint="eastAsia"/>
                <w:sz w:val="21"/>
                <w:szCs w:val="21"/>
              </w:rPr>
              <w:t>0.3 mg/L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响应时间（</w:t>
            </w:r>
            <w:r>
              <w:rPr>
                <w:rFonts w:hint="eastAsia"/>
                <w:sz w:val="21"/>
                <w:szCs w:val="21"/>
              </w:rPr>
              <w:t>T90</w:t>
            </w:r>
            <w:r>
              <w:rPr>
                <w:rFonts w:hint="eastAsia"/>
                <w:sz w:val="21"/>
                <w:szCs w:val="21"/>
              </w:rPr>
              <w:t>）：≤</w:t>
            </w:r>
            <w:r>
              <w:rPr>
                <w:rFonts w:hint="eastAsia"/>
                <w:sz w:val="21"/>
                <w:szCs w:val="21"/>
              </w:rPr>
              <w:t>120 s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温度补偿精度：±</w:t>
            </w:r>
            <w:r>
              <w:rPr>
                <w:rFonts w:hint="eastAsia"/>
                <w:sz w:val="21"/>
                <w:szCs w:val="21"/>
              </w:rPr>
              <w:t>0.3 mg/L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MTBF</w:t>
            </w:r>
            <w:r>
              <w:rPr>
                <w:rFonts w:hint="eastAsia"/>
                <w:sz w:val="21"/>
                <w:szCs w:val="21"/>
              </w:rPr>
              <w:t>：≥</w:t>
            </w:r>
            <w:r>
              <w:rPr>
                <w:rFonts w:hint="eastAsia"/>
                <w:sz w:val="21"/>
                <w:szCs w:val="21"/>
              </w:rPr>
              <w:t>720 h/</w:t>
            </w:r>
            <w:r>
              <w:rPr>
                <w:rFonts w:hint="eastAsia"/>
                <w:sz w:val="21"/>
                <w:szCs w:val="21"/>
              </w:rPr>
              <w:t>次；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防护等级：</w:t>
            </w:r>
            <w:r>
              <w:rPr>
                <w:rFonts w:hint="eastAsia"/>
                <w:sz w:val="21"/>
                <w:szCs w:val="21"/>
              </w:rPr>
              <w:t>IP68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2014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686F9CA7" wp14:editId="1CD9AAA1">
                  <wp:extent cx="1141730" cy="1233170"/>
                  <wp:effectExtent l="0" t="0" r="1270" b="5080"/>
                  <wp:docPr id="1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73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347D" w:rsidRDefault="00B9347D" w:rsidP="00B9347D">
      <w:pPr>
        <w:ind w:firstLine="480"/>
      </w:pPr>
      <w:r>
        <w:rPr>
          <w:rFonts w:hint="eastAsia"/>
        </w:rPr>
        <w:t>COD</w:t>
      </w:r>
      <w:r>
        <w:rPr>
          <w:rFonts w:hint="eastAsia"/>
        </w:rPr>
        <w:t>指标监测选择的监测设备为</w:t>
      </w:r>
      <w:r w:rsidRPr="00B9347D">
        <w:rPr>
          <w:rFonts w:hint="eastAsia"/>
          <w:highlight w:val="yellow"/>
        </w:rPr>
        <w:t>COD</w:t>
      </w:r>
      <w:r w:rsidRPr="00B9347D">
        <w:rPr>
          <w:rFonts w:hint="eastAsia"/>
          <w:highlight w:val="yellow"/>
        </w:rPr>
        <w:t>在线分析</w:t>
      </w:r>
      <w:r>
        <w:rPr>
          <w:rFonts w:hint="eastAsia"/>
        </w:rPr>
        <w:t>仪，如下所示为设备相关技术指标：</w:t>
      </w:r>
    </w:p>
    <w:p w:rsidR="00B9347D" w:rsidRDefault="00B9347D" w:rsidP="00B9347D">
      <w:pPr>
        <w:pStyle w:val="a6"/>
        <w:spacing w:after="156"/>
      </w:pPr>
      <w:r>
        <w:t>表6.3.1-2高锰酸盐指数监测设备技术指标</w:t>
      </w:r>
    </w:p>
    <w:tbl>
      <w:tblPr>
        <w:tblW w:w="8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4330"/>
        <w:gridCol w:w="2014"/>
      </w:tblGrid>
      <w:tr w:rsidR="00B9347D" w:rsidTr="00793777">
        <w:trPr>
          <w:trHeight w:val="476"/>
          <w:jc w:val="center"/>
        </w:trPr>
        <w:tc>
          <w:tcPr>
            <w:tcW w:w="1867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仪器设备名称</w:t>
            </w:r>
          </w:p>
        </w:tc>
        <w:tc>
          <w:tcPr>
            <w:tcW w:w="4330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设备参数指标</w:t>
            </w:r>
          </w:p>
        </w:tc>
        <w:tc>
          <w:tcPr>
            <w:tcW w:w="2014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设备图片</w:t>
            </w:r>
          </w:p>
        </w:tc>
      </w:tr>
      <w:tr w:rsidR="00B9347D" w:rsidTr="00793777">
        <w:trPr>
          <w:trHeight w:val="479"/>
          <w:jc w:val="center"/>
        </w:trPr>
        <w:tc>
          <w:tcPr>
            <w:tcW w:w="1867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COD</w:t>
            </w:r>
            <w:r>
              <w:rPr>
                <w:rFonts w:hint="eastAsia"/>
                <w:sz w:val="21"/>
                <w:szCs w:val="21"/>
              </w:rPr>
              <w:t>在线分析仪</w:t>
            </w:r>
          </w:p>
        </w:tc>
        <w:tc>
          <w:tcPr>
            <w:tcW w:w="4330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测定方法：高锰酸钾氧化法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量程范围：</w:t>
            </w:r>
            <w:r>
              <w:rPr>
                <w:rFonts w:hint="eastAsia"/>
                <w:sz w:val="21"/>
                <w:szCs w:val="21"/>
              </w:rPr>
              <w:t>0-20mg/L</w:t>
            </w:r>
            <w:r>
              <w:rPr>
                <w:rFonts w:hint="eastAsia"/>
                <w:sz w:val="21"/>
                <w:szCs w:val="21"/>
              </w:rPr>
              <w:t>，可选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重复性：≤</w:t>
            </w:r>
            <w:r>
              <w:rPr>
                <w:rFonts w:hint="eastAsia"/>
                <w:sz w:val="21"/>
                <w:szCs w:val="21"/>
              </w:rPr>
              <w:t>5%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检出限：≤</w:t>
            </w:r>
            <w:r>
              <w:rPr>
                <w:rFonts w:hint="eastAsia"/>
                <w:sz w:val="21"/>
                <w:szCs w:val="21"/>
              </w:rPr>
              <w:t>0.5mg/L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准确度：±</w:t>
            </w:r>
            <w:r>
              <w:rPr>
                <w:rFonts w:hint="eastAsia"/>
                <w:sz w:val="21"/>
                <w:szCs w:val="21"/>
              </w:rPr>
              <w:t>5%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零点漂移：±</w:t>
            </w:r>
            <w:r>
              <w:rPr>
                <w:rFonts w:hint="eastAsia"/>
                <w:sz w:val="21"/>
                <w:szCs w:val="21"/>
              </w:rPr>
              <w:t>5%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量程漂移：±</w:t>
            </w:r>
            <w:r>
              <w:rPr>
                <w:rFonts w:hint="eastAsia"/>
                <w:sz w:val="21"/>
                <w:szCs w:val="21"/>
              </w:rPr>
              <w:t>5%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测量周期：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小时，可任意设定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消解温度控制：采用温度联合控制程序，精确控温；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仪器自判断（多项报警系统、故障等级分析）；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定量方式：采用精密蠕动泵定量；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基于安卓的控制系统；拥有向导式操作功能，接口：串行接口、网口、</w:t>
            </w:r>
            <w:r>
              <w:rPr>
                <w:rFonts w:hint="eastAsia"/>
                <w:sz w:val="21"/>
                <w:szCs w:val="21"/>
              </w:rPr>
              <w:t>USB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通讯接口标配</w:t>
            </w:r>
            <w:r>
              <w:rPr>
                <w:rFonts w:hint="eastAsia"/>
                <w:sz w:val="21"/>
                <w:szCs w:val="21"/>
              </w:rPr>
              <w:t>RS-485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RS-232</w:t>
            </w:r>
          </w:p>
        </w:tc>
        <w:tc>
          <w:tcPr>
            <w:tcW w:w="2014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6573B4E8" wp14:editId="22F020FE">
                  <wp:extent cx="1140460" cy="1905000"/>
                  <wp:effectExtent l="0" t="0" r="2540" b="0"/>
                  <wp:docPr id="3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347D" w:rsidRDefault="00B9347D" w:rsidP="00B9347D">
      <w:pPr>
        <w:pStyle w:val="1"/>
        <w:spacing w:before="156"/>
        <w:ind w:firstLine="480"/>
      </w:pPr>
      <w:r>
        <w:rPr>
          <w:rFonts w:hint="eastAsia"/>
        </w:rPr>
        <w:t>水质氨氮监测指标监测采用设备为</w:t>
      </w:r>
      <w:r w:rsidRPr="00B9347D">
        <w:rPr>
          <w:rFonts w:hint="eastAsia"/>
          <w:highlight w:val="yellow"/>
        </w:rPr>
        <w:t>氨氮指数监测</w:t>
      </w:r>
      <w:r>
        <w:rPr>
          <w:rFonts w:hint="eastAsia"/>
        </w:rPr>
        <w:t>设备选择为氨氮水质在线监测仪，设备可实现在线连续监测；可设定周期测量与整点测量模式，保证每日连续测量数据达到12个数据，如下所示为设备相关技术指标：</w:t>
      </w:r>
    </w:p>
    <w:p w:rsidR="00B9347D" w:rsidRDefault="00B9347D" w:rsidP="00B9347D">
      <w:pPr>
        <w:pStyle w:val="a6"/>
        <w:spacing w:after="156"/>
      </w:pPr>
      <w:r>
        <w:t>表6.3.1-2氨氮指数监测设备技术指标</w:t>
      </w:r>
    </w:p>
    <w:tbl>
      <w:tblPr>
        <w:tblW w:w="8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4330"/>
        <w:gridCol w:w="2014"/>
      </w:tblGrid>
      <w:tr w:rsidR="00B9347D" w:rsidTr="00793777">
        <w:trPr>
          <w:trHeight w:val="476"/>
          <w:jc w:val="center"/>
        </w:trPr>
        <w:tc>
          <w:tcPr>
            <w:tcW w:w="1867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仪器设备名称</w:t>
            </w:r>
          </w:p>
        </w:tc>
        <w:tc>
          <w:tcPr>
            <w:tcW w:w="4330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设备参数指标</w:t>
            </w:r>
          </w:p>
        </w:tc>
        <w:tc>
          <w:tcPr>
            <w:tcW w:w="2014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设备图片</w:t>
            </w:r>
          </w:p>
        </w:tc>
      </w:tr>
      <w:tr w:rsidR="00B9347D" w:rsidTr="00793777">
        <w:trPr>
          <w:trHeight w:val="1887"/>
          <w:jc w:val="center"/>
        </w:trPr>
        <w:tc>
          <w:tcPr>
            <w:tcW w:w="1867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氨氮水质在线监测仪</w:t>
            </w:r>
          </w:p>
        </w:tc>
        <w:tc>
          <w:tcPr>
            <w:tcW w:w="4330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测量方法：水杨酸法分光光度法；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量程范围：</w:t>
            </w:r>
            <w:r>
              <w:rPr>
                <w:sz w:val="21"/>
                <w:szCs w:val="21"/>
              </w:rPr>
              <w:t>0-50mg/L</w:t>
            </w:r>
            <w:r>
              <w:rPr>
                <w:sz w:val="21"/>
                <w:szCs w:val="21"/>
              </w:rPr>
              <w:t>，可切换；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检出限：</w:t>
            </w:r>
            <w:r>
              <w:rPr>
                <w:sz w:val="21"/>
                <w:szCs w:val="21"/>
              </w:rPr>
              <w:t>0.01mg/L</w:t>
            </w:r>
            <w:r>
              <w:rPr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重复性：</w:t>
            </w:r>
            <w:r>
              <w:rPr>
                <w:sz w:val="21"/>
                <w:szCs w:val="21"/>
              </w:rPr>
              <w:t>≤2%</w:t>
            </w:r>
            <w:r>
              <w:rPr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分辨率：</w:t>
            </w:r>
            <w:r>
              <w:rPr>
                <w:sz w:val="21"/>
                <w:szCs w:val="21"/>
              </w:rPr>
              <w:t>0.001mg/L</w:t>
            </w:r>
            <w:r>
              <w:rPr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准确度：</w:t>
            </w:r>
            <w:r>
              <w:rPr>
                <w:sz w:val="21"/>
                <w:szCs w:val="21"/>
              </w:rPr>
              <w:t>±2%</w:t>
            </w:r>
            <w:r>
              <w:rPr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零点漂移：</w:t>
            </w:r>
            <w:r>
              <w:rPr>
                <w:sz w:val="21"/>
                <w:szCs w:val="21"/>
              </w:rPr>
              <w:t>≤0.02 mg/L</w:t>
            </w:r>
            <w:r>
              <w:rPr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量程漂移：</w:t>
            </w:r>
            <w:r>
              <w:rPr>
                <w:sz w:val="21"/>
                <w:szCs w:val="21"/>
              </w:rPr>
              <w:t>≤1.0%</w:t>
            </w:r>
            <w:r>
              <w:rPr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仪器支持远程控制、升级；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仪器自判断（多项报警系统、故障等级分析）；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定量方式：采用精密蠕动泵定量；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基于安卓的控制系统；拥有向导式操作功能，接口：串行接口、网口、</w:t>
            </w:r>
            <w:r>
              <w:rPr>
                <w:sz w:val="21"/>
                <w:szCs w:val="21"/>
              </w:rPr>
              <w:t>USB</w:t>
            </w:r>
            <w:r>
              <w:rPr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输出：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路</w:t>
            </w:r>
            <w:r>
              <w:rPr>
                <w:sz w:val="21"/>
                <w:szCs w:val="21"/>
              </w:rPr>
              <w:t>4-20mA</w:t>
            </w:r>
            <w:r>
              <w:rPr>
                <w:sz w:val="21"/>
                <w:szCs w:val="21"/>
              </w:rPr>
              <w:t>输出，最大负载</w:t>
            </w:r>
            <w:r>
              <w:rPr>
                <w:sz w:val="21"/>
                <w:szCs w:val="21"/>
              </w:rPr>
              <w:t xml:space="preserve"> 500Ω</w:t>
            </w:r>
            <w:r>
              <w:rPr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通讯接口标配</w:t>
            </w:r>
            <w:r>
              <w:rPr>
                <w:sz w:val="21"/>
                <w:szCs w:val="21"/>
              </w:rPr>
              <w:t>RS-485</w:t>
            </w:r>
            <w:r>
              <w:rPr>
                <w:sz w:val="21"/>
                <w:szCs w:val="21"/>
              </w:rPr>
              <w:t>或</w:t>
            </w:r>
            <w:r>
              <w:rPr>
                <w:sz w:val="21"/>
                <w:szCs w:val="21"/>
              </w:rPr>
              <w:t>RS-23</w:t>
            </w:r>
          </w:p>
        </w:tc>
        <w:tc>
          <w:tcPr>
            <w:tcW w:w="2014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712E7BA6" wp14:editId="1F4A852B">
                  <wp:extent cx="1141095" cy="1961515"/>
                  <wp:effectExtent l="0" t="0" r="1905" b="635"/>
                  <wp:docPr id="3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196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347D" w:rsidRDefault="00B9347D" w:rsidP="00B9347D">
      <w:pPr>
        <w:ind w:firstLine="480"/>
      </w:pPr>
      <w:r>
        <w:rPr>
          <w:rFonts w:hint="eastAsia"/>
        </w:rPr>
        <w:t>总磷指数监测设备选择为</w:t>
      </w:r>
      <w:r w:rsidRPr="00B9347D">
        <w:rPr>
          <w:rFonts w:hint="eastAsia"/>
          <w:highlight w:val="yellow"/>
        </w:rPr>
        <w:t>总磷水质在线监测仪</w:t>
      </w:r>
      <w:r>
        <w:rPr>
          <w:rFonts w:hint="eastAsia"/>
        </w:rPr>
        <w:t>，如下表所示为监测设备相关技术指标：</w:t>
      </w:r>
    </w:p>
    <w:p w:rsidR="00B9347D" w:rsidRDefault="00B9347D" w:rsidP="00B9347D">
      <w:pPr>
        <w:pStyle w:val="a6"/>
        <w:spacing w:after="156"/>
      </w:pPr>
      <w:r>
        <w:t>表6.3.1-3总磷指数监测设备技术指标</w:t>
      </w:r>
    </w:p>
    <w:tbl>
      <w:tblPr>
        <w:tblW w:w="8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4330"/>
        <w:gridCol w:w="2014"/>
      </w:tblGrid>
      <w:tr w:rsidR="00B9347D" w:rsidTr="00793777">
        <w:trPr>
          <w:trHeight w:val="476"/>
          <w:jc w:val="center"/>
        </w:trPr>
        <w:tc>
          <w:tcPr>
            <w:tcW w:w="1867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仪器设备名称</w:t>
            </w:r>
          </w:p>
        </w:tc>
        <w:tc>
          <w:tcPr>
            <w:tcW w:w="4330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设备参数指标</w:t>
            </w:r>
          </w:p>
        </w:tc>
        <w:tc>
          <w:tcPr>
            <w:tcW w:w="2014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设备图片</w:t>
            </w:r>
          </w:p>
        </w:tc>
      </w:tr>
      <w:tr w:rsidR="00B9347D" w:rsidTr="00793777">
        <w:trPr>
          <w:trHeight w:val="1887"/>
          <w:jc w:val="center"/>
        </w:trPr>
        <w:tc>
          <w:tcPr>
            <w:tcW w:w="1867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总磷水质在线监测仪</w:t>
            </w:r>
          </w:p>
        </w:tc>
        <w:tc>
          <w:tcPr>
            <w:tcW w:w="4330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测量方法：钼酸铵分光光度法；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量程范围：</w:t>
            </w:r>
            <w:r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～</w:t>
            </w:r>
            <w:r>
              <w:rPr>
                <w:sz w:val="21"/>
                <w:szCs w:val="21"/>
              </w:rPr>
              <w:t>50mg/L</w:t>
            </w:r>
            <w:r>
              <w:rPr>
                <w:sz w:val="21"/>
                <w:szCs w:val="21"/>
              </w:rPr>
              <w:t>，可切换；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检出限：</w:t>
            </w:r>
            <w:r>
              <w:rPr>
                <w:sz w:val="21"/>
                <w:szCs w:val="21"/>
              </w:rPr>
              <w:t>≤0.01mg/L</w:t>
            </w:r>
            <w:r>
              <w:rPr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消解时间：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～</w:t>
            </w:r>
            <w:r>
              <w:rPr>
                <w:sz w:val="21"/>
                <w:szCs w:val="21"/>
              </w:rPr>
              <w:t>30min</w:t>
            </w:r>
            <w:r>
              <w:rPr>
                <w:sz w:val="21"/>
                <w:szCs w:val="21"/>
              </w:rPr>
              <w:t>可调；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分辨率：</w:t>
            </w:r>
            <w:r>
              <w:rPr>
                <w:sz w:val="21"/>
                <w:szCs w:val="21"/>
              </w:rPr>
              <w:t>0.001mg/L</w:t>
            </w:r>
            <w:r>
              <w:rPr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准确度：</w:t>
            </w:r>
            <w:r>
              <w:rPr>
                <w:sz w:val="21"/>
                <w:szCs w:val="21"/>
              </w:rPr>
              <w:t>±3%</w:t>
            </w:r>
            <w:r>
              <w:rPr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重复性：</w:t>
            </w:r>
            <w:r>
              <w:rPr>
                <w:sz w:val="21"/>
                <w:szCs w:val="21"/>
              </w:rPr>
              <w:t>≤3%</w:t>
            </w:r>
            <w:r>
              <w:rPr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直线性：</w:t>
            </w:r>
            <w:r>
              <w:rPr>
                <w:sz w:val="21"/>
                <w:szCs w:val="21"/>
              </w:rPr>
              <w:t>±5%</w:t>
            </w:r>
            <w:r>
              <w:rPr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零点漂移：</w:t>
            </w:r>
            <w:r>
              <w:rPr>
                <w:sz w:val="21"/>
                <w:szCs w:val="21"/>
              </w:rPr>
              <w:t>±2%</w:t>
            </w:r>
            <w:r>
              <w:rPr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量程漂移：</w:t>
            </w:r>
            <w:r>
              <w:rPr>
                <w:sz w:val="21"/>
                <w:szCs w:val="21"/>
              </w:rPr>
              <w:t>±5%</w:t>
            </w:r>
            <w:r>
              <w:rPr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仪器自判断（多项报警系统，以及故障等级分析）；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定量方式：采用精密蠕动泵定量；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基于安卓的控制系统；拥有向导式操作功能，接口：串行接口、网口、</w:t>
            </w:r>
            <w:r>
              <w:rPr>
                <w:sz w:val="21"/>
                <w:szCs w:val="21"/>
              </w:rPr>
              <w:t>USB</w:t>
            </w:r>
            <w:r>
              <w:rPr>
                <w:sz w:val="21"/>
                <w:szCs w:val="21"/>
              </w:rPr>
              <w:t>；</w:t>
            </w:r>
          </w:p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通讯接口标配</w:t>
            </w:r>
            <w:r>
              <w:rPr>
                <w:sz w:val="21"/>
                <w:szCs w:val="21"/>
              </w:rPr>
              <w:t>RS-485</w:t>
            </w:r>
            <w:r>
              <w:rPr>
                <w:sz w:val="21"/>
                <w:szCs w:val="21"/>
              </w:rPr>
              <w:t>或</w:t>
            </w:r>
            <w:r>
              <w:rPr>
                <w:sz w:val="21"/>
                <w:szCs w:val="21"/>
              </w:rPr>
              <w:t>RS-232</w:t>
            </w:r>
            <w:r>
              <w:rPr>
                <w:sz w:val="21"/>
                <w:szCs w:val="21"/>
              </w:rPr>
              <w:t>；</w:t>
            </w:r>
          </w:p>
        </w:tc>
        <w:tc>
          <w:tcPr>
            <w:tcW w:w="2014" w:type="dxa"/>
            <w:vAlign w:val="center"/>
          </w:tcPr>
          <w:p w:rsidR="00B9347D" w:rsidRDefault="00B9347D" w:rsidP="0079377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08E391D3" wp14:editId="1D5DFEE8">
                  <wp:extent cx="1140460" cy="2015490"/>
                  <wp:effectExtent l="0" t="0" r="2540" b="3810"/>
                  <wp:docPr id="3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201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35E5" w:rsidRDefault="006635E5" w:rsidP="00B9347D">
      <w:pPr>
        <w:ind w:firstLineChars="0" w:firstLine="0"/>
        <w:rPr>
          <w:rFonts w:hint="eastAsia"/>
        </w:rPr>
      </w:pPr>
    </w:p>
    <w:sectPr w:rsidR="00663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0F3" w:rsidRDefault="00A360F3" w:rsidP="00B9347D">
      <w:pPr>
        <w:spacing w:line="240" w:lineRule="auto"/>
        <w:ind w:firstLine="480"/>
      </w:pPr>
      <w:r>
        <w:separator/>
      </w:r>
    </w:p>
  </w:endnote>
  <w:endnote w:type="continuationSeparator" w:id="0">
    <w:p w:rsidR="00A360F3" w:rsidRDefault="00A360F3" w:rsidP="00B9347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0F3" w:rsidRDefault="00A360F3" w:rsidP="00B9347D">
      <w:pPr>
        <w:spacing w:line="240" w:lineRule="auto"/>
        <w:ind w:firstLine="480"/>
      </w:pPr>
      <w:r>
        <w:separator/>
      </w:r>
    </w:p>
  </w:footnote>
  <w:footnote w:type="continuationSeparator" w:id="0">
    <w:p w:rsidR="00A360F3" w:rsidRDefault="00A360F3" w:rsidP="00B9347D"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C822A2"/>
    <w:multiLevelType w:val="hybridMultilevel"/>
    <w:tmpl w:val="48DCB2F8"/>
    <w:lvl w:ilvl="0" w:tplc="7CF07F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CD"/>
    <w:rsid w:val="0047765F"/>
    <w:rsid w:val="006635E5"/>
    <w:rsid w:val="009D43CD"/>
    <w:rsid w:val="00A360F3"/>
    <w:rsid w:val="00B9347D"/>
    <w:rsid w:val="00D8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8FCE86-962B-44A8-8804-DE256E84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9347D"/>
    <w:pPr>
      <w:spacing w:line="360" w:lineRule="auto"/>
      <w:ind w:firstLineChars="200" w:firstLine="720"/>
    </w:pPr>
    <w:rPr>
      <w:rFonts w:ascii="Times New Roman" w:eastAsia="宋体" w:hAnsi="Times New Roman" w:cs="Times New Roman"/>
      <w:sz w:val="24"/>
      <w:szCs w:val="20"/>
    </w:rPr>
  </w:style>
  <w:style w:type="paragraph" w:styleId="3">
    <w:name w:val="heading 3"/>
    <w:basedOn w:val="a"/>
    <w:next w:val="a"/>
    <w:link w:val="3Char"/>
    <w:qFormat/>
    <w:rsid w:val="00B9347D"/>
    <w:pPr>
      <w:keepNext/>
      <w:keepLines/>
      <w:spacing w:before="100" w:after="100"/>
      <w:ind w:left="720" w:firstLineChars="0" w:hanging="720"/>
      <w:outlineLvl w:val="2"/>
    </w:pPr>
    <w:rPr>
      <w:b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B9347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9347D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B9347D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B9347D"/>
    <w:rPr>
      <w:sz w:val="18"/>
      <w:szCs w:val="18"/>
    </w:rPr>
  </w:style>
  <w:style w:type="character" w:customStyle="1" w:styleId="3Char">
    <w:name w:val="标题 3 Char"/>
    <w:basedOn w:val="a1"/>
    <w:link w:val="3"/>
    <w:qFormat/>
    <w:rsid w:val="00B9347D"/>
    <w:rPr>
      <w:rFonts w:ascii="Times New Roman" w:eastAsia="宋体" w:hAnsi="Times New Roman" w:cs="Times New Roman"/>
      <w:b/>
      <w:sz w:val="30"/>
      <w:szCs w:val="20"/>
    </w:rPr>
  </w:style>
  <w:style w:type="paragraph" w:styleId="a5">
    <w:name w:val="annotation text"/>
    <w:basedOn w:val="a"/>
    <w:link w:val="Char1"/>
    <w:qFormat/>
    <w:rsid w:val="00B9347D"/>
  </w:style>
  <w:style w:type="character" w:customStyle="1" w:styleId="Char1">
    <w:name w:val="批注文字 Char"/>
    <w:basedOn w:val="a1"/>
    <w:link w:val="a5"/>
    <w:rsid w:val="00B9347D"/>
    <w:rPr>
      <w:rFonts w:ascii="Times New Roman" w:eastAsia="宋体" w:hAnsi="Times New Roman" w:cs="Times New Roman"/>
      <w:sz w:val="24"/>
      <w:szCs w:val="20"/>
    </w:rPr>
  </w:style>
  <w:style w:type="paragraph" w:customStyle="1" w:styleId="a6">
    <w:name w:val="图表题"/>
    <w:link w:val="Char2"/>
    <w:unhideWhenUsed/>
    <w:qFormat/>
    <w:rsid w:val="00B9347D"/>
    <w:pPr>
      <w:spacing w:afterLines="50" w:after="50" w:line="360" w:lineRule="auto"/>
      <w:jc w:val="center"/>
    </w:pPr>
    <w:rPr>
      <w:rFonts w:ascii="宋体" w:eastAsia="宋体" w:hAnsi="宋体" w:cs="Times New Roman"/>
      <w:b/>
      <w:szCs w:val="20"/>
    </w:rPr>
  </w:style>
  <w:style w:type="character" w:customStyle="1" w:styleId="Char2">
    <w:name w:val="图表题 Char"/>
    <w:link w:val="a6"/>
    <w:qFormat/>
    <w:rsid w:val="00B9347D"/>
    <w:rPr>
      <w:rFonts w:ascii="宋体" w:eastAsia="宋体" w:hAnsi="宋体" w:cs="Times New Roman"/>
      <w:b/>
      <w:szCs w:val="20"/>
    </w:rPr>
  </w:style>
  <w:style w:type="paragraph" w:customStyle="1" w:styleId="1">
    <w:name w:val="报告正文1"/>
    <w:basedOn w:val="a"/>
    <w:qFormat/>
    <w:rsid w:val="00B9347D"/>
    <w:pPr>
      <w:adjustRightInd w:val="0"/>
      <w:snapToGrid w:val="0"/>
      <w:spacing w:beforeLines="50" w:after="10" w:line="400" w:lineRule="exact"/>
      <w:ind w:firstLine="200"/>
    </w:pPr>
    <w:rPr>
      <w:rFonts w:ascii="宋体" w:hAnsi="宋体"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Fupeng</dc:creator>
  <cp:keywords/>
  <dc:description/>
  <cp:lastModifiedBy>Fupeng</cp:lastModifiedBy>
  <cp:revision>4</cp:revision>
  <dcterms:created xsi:type="dcterms:W3CDTF">2020-02-27T12:11:00Z</dcterms:created>
  <dcterms:modified xsi:type="dcterms:W3CDTF">2020-02-27T12:19:00Z</dcterms:modified>
</cp:coreProperties>
</file>