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spacing w:val="20"/>
        </w:rPr>
      </w:pPr>
      <w:bookmarkStart w:id="0" w:name="_Toc416884550"/>
      <w:bookmarkStart w:id="1" w:name="_Toc417012051"/>
      <w:bookmarkStart w:id="2" w:name="_Toc416884684"/>
      <w:r>
        <w:rPr>
          <w:rFonts w:hint="eastAsia" w:ascii="仿宋" w:hAnsi="仿宋" w:eastAsia="仿宋"/>
          <w:sz w:val="36"/>
          <w:szCs w:val="36"/>
        </w:rPr>
        <w:drawing>
          <wp:anchor distT="0" distB="0" distL="114300" distR="114300" simplePos="0" relativeHeight="251658240" behindDoc="1" locked="0" layoutInCell="1" allowOverlap="1">
            <wp:simplePos x="0" y="0"/>
            <wp:positionH relativeFrom="column">
              <wp:posOffset>-710565</wp:posOffset>
            </wp:positionH>
            <wp:positionV relativeFrom="paragraph">
              <wp:posOffset>-462915</wp:posOffset>
            </wp:positionV>
            <wp:extent cx="7553325" cy="10687050"/>
            <wp:effectExtent l="0" t="0" r="0" b="0"/>
            <wp:wrapNone/>
            <wp:docPr id="2" name="图片 2" descr="4830852_164427627114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830852_164427627114_2"/>
                    <pic:cNvPicPr>
                      <a:picLocks noChangeAspect="1" noChangeArrowheads="1"/>
                    </pic:cNvPicPr>
                  </pic:nvPicPr>
                  <pic:blipFill>
                    <a:blip r:embed="rId16">
                      <a:extLst>
                        <a:ext uri="{28A0092B-C50C-407E-A947-70E740481C1C}">
                          <a14:useLocalDpi xmlns:a14="http://schemas.microsoft.com/office/drawing/2010/main" val="0"/>
                        </a:ext>
                      </a:extLst>
                    </a:blip>
                    <a:srcRect b="5013"/>
                    <a:stretch>
                      <a:fillRect/>
                    </a:stretch>
                  </pic:blipFill>
                  <pic:spPr>
                    <a:xfrm>
                      <a:off x="0" y="0"/>
                      <a:ext cx="7553325" cy="10687050"/>
                    </a:xfrm>
                    <a:prstGeom prst="rect">
                      <a:avLst/>
                    </a:prstGeom>
                    <a:noFill/>
                    <a:ln>
                      <a:noFill/>
                    </a:ln>
                  </pic:spPr>
                </pic:pic>
              </a:graphicData>
            </a:graphic>
          </wp:anchor>
        </w:drawing>
      </w:r>
    </w:p>
    <w:p>
      <w:pPr>
        <w:spacing w:line="480" w:lineRule="exact"/>
        <w:rPr>
          <w:rFonts w:ascii="仿宋_GB2312" w:eastAsia="仿宋_GB2312"/>
          <w:sz w:val="28"/>
        </w:rPr>
      </w:pPr>
      <w:bookmarkStart w:id="3" w:name="_Toc163740082"/>
    </w:p>
    <w:p>
      <w:pPr>
        <w:spacing w:line="480" w:lineRule="exact"/>
        <w:jc w:val="center"/>
        <w:rPr>
          <w:rFonts w:ascii="仿宋_GB2312" w:eastAsia="仿宋_GB2312"/>
          <w:b/>
          <w:sz w:val="48"/>
          <w:szCs w:val="48"/>
        </w:rPr>
      </w:pPr>
    </w:p>
    <w:p>
      <w:pPr>
        <w:spacing w:line="480" w:lineRule="exact"/>
        <w:jc w:val="center"/>
        <w:rPr>
          <w:rFonts w:ascii="仿宋_GB2312" w:eastAsia="仿宋_GB2312"/>
        </w:rPr>
      </w:pPr>
    </w:p>
    <w:p>
      <w:pPr>
        <w:spacing w:line="480" w:lineRule="exact"/>
        <w:jc w:val="center"/>
        <w:rPr>
          <w:rFonts w:ascii="仿宋_GB2312" w:eastAsia="仿宋_GB2312"/>
        </w:rPr>
      </w:pPr>
    </w:p>
    <w:p>
      <w:pPr>
        <w:tabs>
          <w:tab w:val="left" w:pos="4830"/>
        </w:tabs>
        <w:spacing w:line="480" w:lineRule="exact"/>
        <w:rPr>
          <w:rFonts w:ascii="仿宋_GB2312" w:eastAsia="仿宋_GB2312"/>
        </w:rPr>
      </w:pPr>
      <w:r>
        <w:rPr>
          <w:rFonts w:ascii="仿宋_GB2312" w:eastAsia="仿宋_GB2312"/>
        </w:rPr>
        <w:tab/>
      </w:r>
    </w:p>
    <w:p>
      <w:pPr>
        <w:spacing w:line="480" w:lineRule="exact"/>
        <w:jc w:val="center"/>
        <w:rPr>
          <w:rFonts w:ascii="仿宋_GB2312" w:eastAsia="仿宋_GB2312"/>
        </w:rPr>
      </w:pPr>
    </w:p>
    <w:p>
      <w:pPr>
        <w:spacing w:line="480" w:lineRule="exact"/>
        <w:jc w:val="center"/>
        <w:rPr>
          <w:rFonts w:ascii="仿宋_GB2312" w:eastAsia="仿宋_GB2312"/>
        </w:rPr>
      </w:pPr>
    </w:p>
    <w:p>
      <w:pPr>
        <w:spacing w:line="480" w:lineRule="exact"/>
        <w:jc w:val="center"/>
        <w:rPr>
          <w:rFonts w:ascii="仿宋_GB2312" w:eastAsia="仿宋_GB2312"/>
          <w:b/>
          <w:bCs/>
          <w:sz w:val="36"/>
          <w:szCs w:val="36"/>
        </w:rPr>
      </w:pPr>
      <w:r>
        <w:pict>
          <v:shape id="直接箭头连接符 5" o:spid="_x0000_s1026" o:spt="32" type="#_x0000_t32" style="position:absolute;left:0pt;margin-left:107.25pt;margin-top:23.25pt;height:0.05pt;width:274.45pt;z-index:251661312;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">
            <v:path arrowok="t"/>
            <v:fill on="f" focussize="0,0"/>
            <v:stroke weight="1pt"/>
            <v:imagedata o:title=""/>
            <o:lock v:ext="edit"/>
          </v:shape>
        </w:pict>
      </w:r>
      <w:r>
        <w:rPr>
          <w:rFonts w:hint="eastAsia" w:ascii="仿宋_GB2312" w:eastAsia="仿宋_GB2312"/>
          <w:sz w:val="36"/>
          <w:szCs w:val="36"/>
        </w:rPr>
        <w:t>《智能</w:t>
      </w:r>
      <w:r>
        <w:rPr>
          <w:rFonts w:hint="eastAsia" w:ascii="仿宋_GB2312" w:eastAsia="仿宋_GB2312"/>
          <w:b/>
          <w:bCs/>
          <w:sz w:val="36"/>
          <w:szCs w:val="36"/>
        </w:rPr>
        <w:t>制造之MES系统</w:t>
      </w:r>
      <w:bookmarkEnd w:id="3"/>
      <w:r>
        <w:rPr>
          <w:rFonts w:hint="eastAsia" w:ascii="仿宋_GB2312" w:eastAsia="仿宋_GB2312"/>
          <w:b/>
          <w:bCs/>
          <w:sz w:val="36"/>
          <w:szCs w:val="36"/>
        </w:rPr>
        <w:t>》</w:t>
      </w:r>
    </w:p>
    <w:p>
      <w:pPr>
        <w:spacing w:line="480" w:lineRule="exact"/>
        <w:ind w:firstLine="840" w:firstLineChars="400"/>
        <w:rPr>
          <w:rFonts w:ascii="仿宋_GB2312" w:eastAsia="仿宋_GB2312"/>
          <w:sz w:val="13"/>
          <w:u w:val="single"/>
        </w:rPr>
      </w:pPr>
      <w:r>
        <w:pict>
          <v:shape id="直接箭头连接符 4" o:spid="_x0000_s1035" o:spt="32" type="#_x0000_t32" style="position:absolute;left:0pt;margin-left:107.25pt;margin-top:2.25pt;height:0pt;width:274.45pt;z-index:251660288;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">
            <v:path arrowok="t"/>
            <v:fill on="f" focussize="0,0"/>
            <v:stroke weight="1pt"/>
            <v:imagedata o:title=""/>
            <o:lock v:ext="edit"/>
          </v:shape>
        </w:pict>
      </w:r>
    </w:p>
    <w:p>
      <w:pPr>
        <w:spacing w:line="480" w:lineRule="exact"/>
        <w:ind w:firstLine="3795" w:firstLineChars="1050"/>
        <w:rPr>
          <w:rFonts w:ascii="仿宋_GB2312" w:eastAsia="仿宋_GB2312"/>
          <w:b/>
          <w:sz w:val="36"/>
          <w:szCs w:val="36"/>
        </w:rPr>
      </w:pPr>
    </w:p>
    <w:p>
      <w:pPr>
        <w:spacing w:line="480" w:lineRule="exact"/>
        <w:jc w:val="center"/>
        <w:rPr>
          <w:rFonts w:ascii="仿宋_GB2312" w:eastAsia="仿宋_GB2312"/>
          <w:b/>
          <w:sz w:val="36"/>
          <w:szCs w:val="36"/>
        </w:rPr>
      </w:pPr>
      <w:r>
        <w:rPr>
          <w:rFonts w:hint="eastAsia" w:ascii="仿宋_GB2312" w:eastAsia="仿宋_GB2312"/>
          <w:b/>
          <w:sz w:val="36"/>
          <w:szCs w:val="36"/>
        </w:rPr>
        <w:t>系统框架及主要业务流程</w:t>
      </w:r>
    </w:p>
    <w:p>
      <w:pPr>
        <w:spacing w:line="480" w:lineRule="exact"/>
        <w:ind w:firstLine="3795" w:firstLineChars="1050"/>
        <w:rPr>
          <w:rFonts w:ascii="仿宋_GB2312" w:eastAsia="仿宋_GB2312"/>
          <w:b/>
          <w:sz w:val="36"/>
          <w:szCs w:val="36"/>
        </w:rPr>
      </w:pPr>
    </w:p>
    <w:p>
      <w:pPr>
        <w:spacing w:line="480" w:lineRule="exact"/>
        <w:ind w:firstLine="3795" w:firstLineChars="1050"/>
        <w:rPr>
          <w:rFonts w:ascii="仿宋_GB2312" w:eastAsia="仿宋_GB2312"/>
          <w:b/>
          <w:sz w:val="36"/>
          <w:szCs w:val="36"/>
        </w:rPr>
      </w:pPr>
    </w:p>
    <w:p>
      <w:pPr>
        <w:spacing w:line="480" w:lineRule="exact"/>
        <w:ind w:firstLine="3795" w:firstLineChars="1050"/>
        <w:rPr>
          <w:rFonts w:ascii="仿宋_GB2312" w:eastAsia="仿宋_GB2312"/>
          <w:b/>
          <w:sz w:val="36"/>
          <w:szCs w:val="36"/>
        </w:rPr>
      </w:pPr>
    </w:p>
    <w:p>
      <w:pPr>
        <w:spacing w:line="480" w:lineRule="exact"/>
        <w:ind w:firstLine="3795" w:firstLineChars="1050"/>
        <w:rPr>
          <w:rFonts w:ascii="仿宋_GB2312" w:eastAsia="仿宋_GB2312"/>
          <w:b/>
          <w:sz w:val="36"/>
          <w:szCs w:val="36"/>
        </w:rPr>
      </w:pPr>
    </w:p>
    <w:p>
      <w:pPr>
        <w:spacing w:line="480" w:lineRule="exact"/>
        <w:ind w:firstLine="3795" w:firstLineChars="1050"/>
        <w:rPr>
          <w:rFonts w:ascii="仿宋_GB2312" w:eastAsia="仿宋_GB2312"/>
          <w:b/>
          <w:sz w:val="36"/>
          <w:szCs w:val="36"/>
        </w:rPr>
      </w:pPr>
    </w:p>
    <w:p>
      <w:pPr>
        <w:spacing w:line="480" w:lineRule="exact"/>
        <w:ind w:firstLine="3795" w:firstLineChars="1050"/>
        <w:rPr>
          <w:rFonts w:ascii="仿宋_GB2312" w:eastAsia="仿宋_GB2312"/>
          <w:b/>
          <w:sz w:val="36"/>
          <w:szCs w:val="36"/>
        </w:rPr>
      </w:pPr>
    </w:p>
    <w:p>
      <w:pPr>
        <w:spacing w:line="480" w:lineRule="exact"/>
        <w:ind w:firstLine="3795" w:firstLineChars="1050"/>
        <w:rPr>
          <w:rFonts w:ascii="仿宋_GB2312" w:eastAsia="仿宋_GB2312"/>
          <w:b/>
          <w:sz w:val="36"/>
          <w:szCs w:val="36"/>
        </w:rPr>
      </w:pPr>
    </w:p>
    <w:p>
      <w:pPr>
        <w:spacing w:line="480" w:lineRule="exact"/>
        <w:ind w:firstLine="3795" w:firstLineChars="1050"/>
        <w:rPr>
          <w:rFonts w:ascii="仿宋_GB2312" w:eastAsia="仿宋_GB2312"/>
          <w:b/>
          <w:sz w:val="36"/>
          <w:szCs w:val="36"/>
        </w:rPr>
      </w:pPr>
    </w:p>
    <w:p>
      <w:pPr>
        <w:spacing w:line="480" w:lineRule="exact"/>
        <w:ind w:firstLine="3795" w:firstLineChars="1050"/>
        <w:rPr>
          <w:rFonts w:ascii="仿宋_GB2312" w:eastAsia="仿宋_GB2312"/>
          <w:b/>
          <w:sz w:val="36"/>
          <w:szCs w:val="36"/>
        </w:rPr>
      </w:pPr>
    </w:p>
    <w:p>
      <w:pPr>
        <w:spacing w:line="480" w:lineRule="exact"/>
        <w:ind w:firstLine="3795" w:firstLineChars="1050"/>
        <w:rPr>
          <w:rFonts w:ascii="仿宋_GB2312" w:eastAsia="仿宋_GB2312"/>
          <w:b/>
          <w:sz w:val="36"/>
          <w:szCs w:val="36"/>
        </w:rPr>
      </w:pPr>
    </w:p>
    <w:p>
      <w:pPr>
        <w:spacing w:line="480" w:lineRule="exact"/>
        <w:ind w:firstLine="3795" w:firstLineChars="1050"/>
        <w:rPr>
          <w:rFonts w:ascii="仿宋_GB2312" w:eastAsia="仿宋_GB2312"/>
          <w:b/>
          <w:sz w:val="36"/>
          <w:szCs w:val="36"/>
        </w:rPr>
      </w:pPr>
    </w:p>
    <w:p>
      <w:pPr>
        <w:spacing w:line="480" w:lineRule="exact"/>
        <w:ind w:firstLine="3795" w:firstLineChars="1050"/>
        <w:rPr>
          <w:rFonts w:ascii="仿宋_GB2312" w:eastAsia="仿宋_GB2312"/>
          <w:b/>
          <w:sz w:val="36"/>
          <w:szCs w:val="36"/>
        </w:rPr>
      </w:pPr>
    </w:p>
    <w:p>
      <w:pPr>
        <w:spacing w:line="480" w:lineRule="exact"/>
        <w:ind w:firstLine="3795" w:firstLineChars="1050"/>
        <w:rPr>
          <w:rFonts w:ascii="仿宋_GB2312" w:eastAsia="仿宋_GB2312"/>
          <w:b/>
          <w:sz w:val="36"/>
          <w:szCs w:val="36"/>
        </w:rPr>
      </w:pPr>
    </w:p>
    <w:p>
      <w:pPr>
        <w:spacing w:line="480" w:lineRule="exact"/>
        <w:ind w:firstLine="3795" w:firstLineChars="1050"/>
        <w:rPr>
          <w:rFonts w:ascii="仿宋_GB2312" w:eastAsia="仿宋_GB2312"/>
          <w:b/>
          <w:sz w:val="36"/>
          <w:szCs w:val="36"/>
        </w:rPr>
      </w:pPr>
    </w:p>
    <w:p>
      <w:pPr>
        <w:spacing w:line="480" w:lineRule="exact"/>
        <w:ind w:firstLine="3795" w:firstLineChars="1050"/>
        <w:rPr>
          <w:rFonts w:ascii="仿宋_GB2312" w:eastAsia="仿宋_GB2312"/>
          <w:b/>
          <w:sz w:val="36"/>
          <w:szCs w:val="36"/>
        </w:rPr>
      </w:pPr>
    </w:p>
    <w:p>
      <w:pPr>
        <w:spacing w:line="480" w:lineRule="exact"/>
        <w:ind w:firstLine="3795" w:firstLineChars="1050"/>
        <w:rPr>
          <w:rFonts w:ascii="仿宋_GB2312" w:eastAsia="仿宋_GB2312"/>
          <w:b/>
          <w:sz w:val="36"/>
          <w:szCs w:val="36"/>
        </w:rPr>
      </w:pPr>
    </w:p>
    <w:p>
      <w:pPr>
        <w:spacing w:line="480" w:lineRule="exact"/>
        <w:rPr>
          <w:rFonts w:ascii="仿宋" w:hAnsi="仿宋" w:eastAsia="仿宋"/>
          <w:b/>
          <w:sz w:val="28"/>
          <w:szCs w:val="28"/>
        </w:rPr>
      </w:pPr>
    </w:p>
    <w:p>
      <w:pPr>
        <w:pStyle w:val="2"/>
        <w:numPr>
          <w:ilvl w:val="0"/>
          <w:numId w:val="1"/>
        </w:numPr>
        <w:spacing w:before="93" w:beforeLines="30" w:after="93" w:afterLines="30" w:line="360" w:lineRule="auto"/>
        <w:rPr>
          <w:rFonts w:ascii="仿宋" w:hAnsi="仿宋" w:eastAsia="仿宋"/>
          <w:sz w:val="36"/>
          <w:szCs w:val="36"/>
        </w:rPr>
      </w:pPr>
      <w:r>
        <w:rPr>
          <w:rFonts w:hint="eastAsia" w:ascii="仿宋" w:hAnsi="仿宋" w:eastAsia="仿宋"/>
          <w:sz w:val="36"/>
          <w:szCs w:val="36"/>
        </w:rPr>
        <w:t>概述</w:t>
      </w:r>
      <w:bookmarkEnd w:id="0"/>
      <w:bookmarkEnd w:id="1"/>
      <w:bookmarkEnd w:id="2"/>
    </w:p>
    <w:p>
      <w:pPr>
        <w:spacing w:line="480" w:lineRule="exact"/>
        <w:ind w:firstLine="482"/>
        <w:rPr>
          <w:rFonts w:ascii="宋体" w:hAnsi="宋体"/>
          <w:sz w:val="24"/>
          <w:szCs w:val="24"/>
        </w:rPr>
      </w:pPr>
      <w:bookmarkStart w:id="4" w:name="_Toc248395144"/>
      <w:bookmarkStart w:id="5" w:name="_Toc247648795"/>
      <w:bookmarkStart w:id="6" w:name="_Toc248380058"/>
      <w:bookmarkStart w:id="7" w:name="_Toc247648229"/>
      <w:bookmarkStart w:id="8" w:name="_Toc247683065"/>
      <w:bookmarkStart w:id="9" w:name="_Toc247648530"/>
      <w:bookmarkStart w:id="10" w:name="_Toc253575621"/>
      <w:bookmarkStart w:id="11" w:name="_Toc245221115"/>
      <w:bookmarkStart w:id="12" w:name="_Toc252919547"/>
      <w:bookmarkStart w:id="13" w:name="_Toc148254971"/>
      <w:bookmarkStart w:id="14" w:name="_Toc247683135"/>
      <w:bookmarkStart w:id="15" w:name="_Toc248395055"/>
      <w:bookmarkStart w:id="16" w:name="_Toc185738053"/>
      <w:bookmarkStart w:id="17" w:name="_Toc247648134"/>
      <w:bookmarkStart w:id="18" w:name="_Toc254676241"/>
      <w:r>
        <w:rPr>
          <w:rFonts w:hint="eastAsia" w:ascii="宋体" w:hAnsi="宋体"/>
          <w:sz w:val="24"/>
          <w:szCs w:val="24"/>
        </w:rPr>
        <w:t>生产系统作为装备制造企业的重要环节，直接影响着产品的交货期、质量、成本。加强生产系统的管理与控制是企业提高竞争力的有效途径。生产系统的管理与控制涉及到生产过程的计划和执行，过程一旦发生变化，要求系统能够做到及时协调与实时控制从而使生产过程稳定运行。</w:t>
      </w:r>
    </w:p>
    <w:p>
      <w:pPr>
        <w:spacing w:line="480" w:lineRule="exact"/>
        <w:ind w:firstLine="482"/>
        <w:rPr>
          <w:rFonts w:ascii="宋体" w:hAnsi="宋体"/>
          <w:sz w:val="24"/>
          <w:szCs w:val="24"/>
        </w:rPr>
      </w:pPr>
      <w:r>
        <w:rPr>
          <w:rFonts w:hint="eastAsia" w:ascii="宋体" w:hAnsi="宋体"/>
          <w:sz w:val="24"/>
          <w:szCs w:val="24"/>
        </w:rPr>
        <w:t>该系统主要目的是解决下达生产计划后的执行力，生产过程的控制，包括生产作业计划的产生、以车间为核心的生产作业控制、在制品控制、生产进度监控及预警、生产执行过程的动态监控并根据监控信息进行实时调整、生产过程成本转移、生产过程质量信息统计与分析、生产进度及成本的多角度监控与统计分析。</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hint="eastAsia" w:ascii="宋体" w:hAnsi="宋体"/>
          <w:sz w:val="24"/>
          <w:szCs w:val="24"/>
        </w:rPr>
        <w:t>解决材料使用的控制,从而最大限度的控制成本。</w:t>
      </w:r>
    </w:p>
    <w:p>
      <w:pPr>
        <w:pStyle w:val="2"/>
        <w:numPr>
          <w:ilvl w:val="0"/>
          <w:numId w:val="1"/>
        </w:numPr>
        <w:spacing w:before="93" w:beforeLines="30" w:after="93" w:afterLines="30" w:line="360" w:lineRule="auto"/>
        <w:rPr>
          <w:rFonts w:ascii="仿宋" w:hAnsi="仿宋" w:eastAsia="仿宋"/>
          <w:sz w:val="36"/>
          <w:szCs w:val="36"/>
        </w:rPr>
      </w:pPr>
      <w:bookmarkStart w:id="19" w:name="_Toc416884685"/>
      <w:bookmarkStart w:id="20" w:name="_Toc407544918"/>
      <w:bookmarkStart w:id="21" w:name="_Toc417012052"/>
      <w:r>
        <w:rPr>
          <w:rFonts w:hint="eastAsia" w:ascii="仿宋" w:hAnsi="仿宋" w:eastAsia="仿宋"/>
          <w:sz w:val="36"/>
          <w:szCs w:val="36"/>
        </w:rPr>
        <w:t>项目目标</w:t>
      </w:r>
      <w:bookmarkEnd w:id="19"/>
      <w:bookmarkEnd w:id="20"/>
      <w:bookmarkEnd w:id="21"/>
    </w:p>
    <w:p>
      <w:pPr>
        <w:spacing w:line="480" w:lineRule="exact"/>
        <w:ind w:firstLine="482"/>
        <w:rPr>
          <w:rFonts w:ascii="宋体" w:hAnsi="宋体"/>
          <w:sz w:val="24"/>
          <w:szCs w:val="24"/>
        </w:rPr>
      </w:pPr>
      <w:r>
        <w:rPr>
          <w:rFonts w:hint="eastAsia" w:ascii="宋体" w:hAnsi="宋体"/>
          <w:sz w:val="24"/>
          <w:szCs w:val="24"/>
        </w:rPr>
        <w:t>本项目以复杂装备制造产品为典型生产模式，实现生产执行过程的计划与实时控制。项目内容包括：技术数据管理、工艺设计与规划，生产系统的计划、执行、监控预警、高级排程与实时调度、生产过程的质量体系与控制，生产系统中的实时物流控制与实时成本转移分析与控制，质量监控与统计分析,生产过程的质量体系管理与追溯系统、下料车间的下料管理与材料利用率控制、快速报价与工期估计、工程与发货管理。与公司正在使用的PDM和财务系统接口，建立以生产过程执行控制为核心的综合信息化系统。</w:t>
      </w:r>
    </w:p>
    <w:p>
      <w:pPr>
        <w:spacing w:line="480" w:lineRule="exact"/>
        <w:ind w:firstLine="482"/>
        <w:rPr>
          <w:rFonts w:ascii="宋体" w:hAnsi="宋体"/>
          <w:sz w:val="24"/>
          <w:szCs w:val="24"/>
        </w:rPr>
      </w:pPr>
      <w:r>
        <w:rPr>
          <w:rFonts w:hint="eastAsia" w:ascii="宋体" w:hAnsi="宋体"/>
          <w:sz w:val="24"/>
          <w:szCs w:val="24"/>
        </w:rPr>
        <w:t>本项目针对装备制造产品的情况，对生产制造过程进行信息化管理，达到优化生产计划与生产执行过程，为生产系统的准确运行与及时生产提供有利的保证。项目最终目标是通过项目的实施，使生产执行各个系统在统一共享和集中的网络平台上运行，最大限度的提高生产计划与管理的效率和准确性，使生产进度、质量、成本处于控制之中。</w:t>
      </w:r>
    </w:p>
    <w:p>
      <w:pPr>
        <w:spacing w:line="480" w:lineRule="exact"/>
        <w:ind w:firstLine="482"/>
        <w:rPr>
          <w:rFonts w:ascii="宋体" w:hAnsi="宋体"/>
          <w:sz w:val="24"/>
          <w:szCs w:val="24"/>
        </w:rPr>
        <w:sectPr>
          <w:headerReference r:id="rId3" w:type="default"/>
          <w:footerReference r:id="rId4" w:type="default"/>
          <w:pgSz w:w="11906" w:h="16838"/>
          <w:pgMar w:top="1134" w:right="1134" w:bottom="1134" w:left="1134" w:header="851" w:footer="992" w:gutter="0"/>
          <w:pgNumType w:start="0"/>
          <w:cols w:space="425" w:num="1"/>
          <w:docGrid w:type="lines" w:linePitch="312" w:charSpace="0"/>
        </w:sectPr>
      </w:pPr>
      <w:r>
        <w:rPr>
          <w:rFonts w:hint="eastAsia" w:ascii="宋体" w:hAnsi="宋体"/>
          <w:sz w:val="24"/>
          <w:szCs w:val="24"/>
        </w:rPr>
        <w:t>本项目通过实施,进一步规范技术数据,强化工艺规划在生产过程特别在质量控制与成本控制的先期策划的作用，企业各部门可以通过系统随时了解生产执行情况、工序执行情况、质量情况、成本情况，特别是项目负责人可以随时了解项目的执行进度；技术与生产结合形成完整的产品设计与生产制造系统，可以随时查看产品的生产进度情况，从而获得第一手资料。生产计划以及各执行部门自动从技术部门产生的数据中获得执行信息。</w:t>
      </w:r>
    </w:p>
    <w:p>
      <w:pPr>
        <w:pStyle w:val="2"/>
        <w:numPr>
          <w:ilvl w:val="0"/>
          <w:numId w:val="1"/>
        </w:numPr>
        <w:spacing w:before="93" w:beforeLines="30" w:after="0" w:line="240" w:lineRule="auto"/>
        <w:rPr>
          <w:rFonts w:ascii="仿宋" w:hAnsi="仿宋" w:eastAsia="仿宋"/>
          <w:sz w:val="36"/>
          <w:szCs w:val="36"/>
        </w:rPr>
      </w:pPr>
      <w:r>
        <w:rPr>
          <w:rFonts w:hint="eastAsia" w:ascii="仿宋" w:hAnsi="仿宋" w:eastAsia="仿宋"/>
          <w:sz w:val="36"/>
          <w:szCs w:val="36"/>
        </w:rPr>
        <w:t>系统结构及主要功能简介</w:t>
      </w:r>
    </w:p>
    <w:p>
      <w:pPr>
        <w:keepNext/>
        <w:jc w:val="center"/>
      </w:pPr>
      <w:r>
        <w:object>
          <v:shape id="_x0000_i1025" o:spt="75" alt="" type="#_x0000_t75" style="height:399.1pt;width:576.9pt;" o:ole="t" filled="f" o:preferrelative="t" stroked="f" coordsize="21600,21600">
            <v:path/>
            <v:fill on="f" focussize="0,0"/>
            <v:stroke on="f"/>
            <v:imagedata r:id="rId18" o:title=""/>
            <o:lock v:ext="edit" aspectratio="t"/>
            <w10:wrap type="none"/>
            <w10:anchorlock/>
          </v:shape>
          <o:OLEObject Type="Embed" ProgID="Visio.Drawing.11" ShapeID="_x0000_i1025" DrawAspect="Content" ObjectID="_1468075725" r:id="rId17">
            <o:LockedField>false</o:LockedField>
          </o:OLEObject>
        </w:object>
      </w:r>
      <w:bookmarkStart w:id="60" w:name="_GoBack"/>
      <w:bookmarkEnd w:id="60"/>
    </w:p>
    <w:p>
      <w:pPr>
        <w:pStyle w:val="4"/>
        <w:jc w:val="center"/>
      </w:pPr>
      <w:r>
        <w:t xml:space="preserve">Figure </w:t>
      </w:r>
      <w:r>
        <w:fldChar w:fldCharType="begin"/>
      </w:r>
      <w:r>
        <w:instrText xml:space="preserve"> SEQ Figure \* ARABIC </w:instrText>
      </w:r>
      <w:r>
        <w:fldChar w:fldCharType="separate"/>
      </w:r>
      <w:r>
        <w:t>1</w:t>
      </w:r>
      <w:r>
        <w:fldChar w:fldCharType="end"/>
      </w:r>
    </w:p>
    <w:p>
      <w:pPr>
        <w:jc w:val="center"/>
        <w:rPr>
          <w:rFonts w:ascii="华文楷体" w:hAnsi="华文楷体" w:eastAsia="华文楷体"/>
        </w:rPr>
        <w:sectPr>
          <w:headerReference r:id="rId5" w:type="default"/>
          <w:footerReference r:id="rId6" w:type="default"/>
          <w:pgSz w:w="16838" w:h="11906" w:orient="landscape"/>
          <w:pgMar w:top="1134" w:right="1134" w:bottom="1134" w:left="1134" w:header="851" w:footer="992" w:gutter="0"/>
          <w:cols w:space="425" w:num="1"/>
          <w:docGrid w:type="lines" w:linePitch="312" w:charSpace="0"/>
        </w:sectPr>
      </w:pPr>
      <w:r>
        <w:rPr>
          <w:rFonts w:hint="eastAsia" w:ascii="华文楷体" w:hAnsi="华文楷体" w:eastAsia="华文楷体"/>
        </w:rPr>
        <w:t>图1 智能制造MES系统结构图</w:t>
      </w:r>
    </w:p>
    <w:p>
      <w:pPr>
        <w:spacing w:line="480" w:lineRule="exact"/>
        <w:ind w:firstLine="482"/>
        <w:rPr>
          <w:rFonts w:ascii="宋体" w:hAnsi="宋体"/>
          <w:sz w:val="24"/>
          <w:szCs w:val="24"/>
        </w:rPr>
      </w:pPr>
      <w:r>
        <w:rPr>
          <w:rFonts w:hint="eastAsia" w:ascii="宋体" w:hAnsi="宋体"/>
          <w:sz w:val="24"/>
          <w:szCs w:val="24"/>
        </w:rPr>
        <w:t>由上图可见，本系统总体上可心分为技术保障、生产管理和系统管理三个大模块，其中系统管理模块的为系统的基础设置，是系统正常运行的前提；技术保障模块的主要功能是技术数据的准备，包括产品设计、工艺和编码，是生产管理部分的技术支撑及依据；生产管理为本系统最大的模块，涉及整个生产过程。下面介绍一下各功能模块的具体功能。</w:t>
      </w:r>
    </w:p>
    <w:p>
      <w:pPr>
        <w:pStyle w:val="3"/>
        <w:numPr>
          <w:ilvl w:val="0"/>
          <w:numId w:val="2"/>
        </w:numPr>
      </w:pPr>
      <w:r>
        <w:rPr>
          <w:rFonts w:hint="eastAsia"/>
        </w:rPr>
        <w:t>系统管理</w:t>
      </w:r>
    </w:p>
    <w:p>
      <w:pPr>
        <w:spacing w:line="480" w:lineRule="exact"/>
        <w:ind w:firstLine="482"/>
        <w:rPr>
          <w:rFonts w:ascii="宋体" w:hAnsi="宋体"/>
          <w:sz w:val="24"/>
          <w:szCs w:val="24"/>
        </w:rPr>
      </w:pPr>
      <w:r>
        <w:rPr>
          <w:rFonts w:hint="eastAsia" w:ascii="宋体" w:hAnsi="宋体"/>
          <w:sz w:val="24"/>
          <w:szCs w:val="24"/>
        </w:rPr>
        <w:t>本模块为系统的基础设置模块，包括系统部门、人员配置，业务流程设置等等，是可以保证系统业务流程可以顺利运转的一个基础保证，主要内容如下：</w:t>
      </w:r>
    </w:p>
    <w:p>
      <w:pPr>
        <w:pStyle w:val="15"/>
        <w:numPr>
          <w:ilvl w:val="0"/>
          <w:numId w:val="3"/>
        </w:numPr>
        <w:spacing w:line="480" w:lineRule="exact"/>
        <w:ind w:firstLineChars="0"/>
        <w:jc w:val="left"/>
        <w:rPr>
          <w:rFonts w:asciiTheme="minorEastAsia" w:hAnsiTheme="minorEastAsia"/>
          <w:sz w:val="24"/>
          <w:szCs w:val="24"/>
        </w:rPr>
      </w:pPr>
      <w:r>
        <w:rPr>
          <w:rFonts w:hint="eastAsia" w:asciiTheme="minorEastAsia" w:hAnsiTheme="minorEastAsia"/>
          <w:b/>
          <w:sz w:val="24"/>
          <w:szCs w:val="24"/>
        </w:rPr>
        <w:t>业务部门管理</w:t>
      </w:r>
      <w:r>
        <w:rPr>
          <w:rFonts w:hint="eastAsia" w:asciiTheme="minorEastAsia" w:hAnsiTheme="minorEastAsia"/>
          <w:sz w:val="24"/>
          <w:szCs w:val="24"/>
        </w:rPr>
        <w:t>：系统中涉及的业务部门信息维护。</w:t>
      </w:r>
    </w:p>
    <w:p>
      <w:pPr>
        <w:pStyle w:val="15"/>
        <w:numPr>
          <w:ilvl w:val="0"/>
          <w:numId w:val="3"/>
        </w:numPr>
        <w:spacing w:line="480" w:lineRule="exact"/>
        <w:ind w:firstLineChars="0"/>
        <w:jc w:val="left"/>
        <w:rPr>
          <w:rFonts w:asciiTheme="minorEastAsia" w:hAnsiTheme="minorEastAsia"/>
          <w:sz w:val="24"/>
          <w:szCs w:val="24"/>
        </w:rPr>
      </w:pPr>
      <w:r>
        <w:rPr>
          <w:rFonts w:hint="eastAsia" w:asciiTheme="minorEastAsia" w:hAnsiTheme="minorEastAsia"/>
          <w:b/>
          <w:sz w:val="24"/>
          <w:szCs w:val="24"/>
        </w:rPr>
        <w:t>用户及权限管理系统</w:t>
      </w:r>
      <w:r>
        <w:rPr>
          <w:rFonts w:hint="eastAsia" w:asciiTheme="minorEastAsia" w:hAnsiTheme="minorEastAsia"/>
          <w:sz w:val="24"/>
          <w:szCs w:val="24"/>
        </w:rPr>
        <w:t>：包括用户管理和用户权限设置，其中系统用户管理是维护系统的用户信息，用户权限管理则是根据实际需要为系统各用户配置不同的操作权限。</w:t>
      </w:r>
    </w:p>
    <w:p>
      <w:pPr>
        <w:pStyle w:val="15"/>
        <w:numPr>
          <w:ilvl w:val="0"/>
          <w:numId w:val="3"/>
        </w:numPr>
        <w:spacing w:line="480" w:lineRule="exact"/>
        <w:ind w:firstLineChars="0"/>
        <w:jc w:val="left"/>
        <w:rPr>
          <w:rFonts w:asciiTheme="minorEastAsia" w:hAnsiTheme="minorEastAsia"/>
          <w:sz w:val="24"/>
          <w:szCs w:val="24"/>
        </w:rPr>
      </w:pPr>
      <w:r>
        <w:rPr>
          <w:rFonts w:hint="eastAsia" w:asciiTheme="minorEastAsia" w:hAnsiTheme="minorEastAsia"/>
          <w:b/>
          <w:sz w:val="24"/>
          <w:szCs w:val="24"/>
        </w:rPr>
        <w:t>车间及设备维护</w:t>
      </w:r>
      <w:r>
        <w:rPr>
          <w:rFonts w:hint="eastAsia" w:asciiTheme="minorEastAsia" w:hAnsiTheme="minorEastAsia"/>
          <w:sz w:val="24"/>
          <w:szCs w:val="24"/>
        </w:rPr>
        <w:t>：包括车间类型定义、设备台帐和工作中心管理。其中车间类型定义是从系统的业务部门中选择相应的部门为车间，并定义相应的车间类型（毛坯、机加工、装配）；设备台帐管理是维护各车间的设备信息；工作中心管理，各车间同一型号的设备为一个工作中心，工作中心管理则是设备各工作中心的费率，计算生产成本中的工时成本提供依据。</w:t>
      </w:r>
    </w:p>
    <w:p>
      <w:pPr>
        <w:pStyle w:val="15"/>
        <w:numPr>
          <w:ilvl w:val="0"/>
          <w:numId w:val="3"/>
        </w:numPr>
        <w:spacing w:line="480" w:lineRule="exact"/>
        <w:ind w:firstLineChars="0"/>
        <w:jc w:val="left"/>
        <w:rPr>
          <w:rFonts w:asciiTheme="minorEastAsia" w:hAnsiTheme="minorEastAsia"/>
          <w:sz w:val="24"/>
          <w:szCs w:val="24"/>
        </w:rPr>
      </w:pPr>
      <w:r>
        <w:rPr>
          <w:rFonts w:hint="eastAsia" w:asciiTheme="minorEastAsia" w:hAnsiTheme="minorEastAsia"/>
          <w:b/>
          <w:sz w:val="24"/>
          <w:szCs w:val="24"/>
        </w:rPr>
        <w:t>打印模板定制</w:t>
      </w:r>
      <w:r>
        <w:rPr>
          <w:rFonts w:hint="eastAsia" w:asciiTheme="minorEastAsia" w:hAnsiTheme="minorEastAsia"/>
          <w:sz w:val="24"/>
          <w:szCs w:val="24"/>
        </w:rPr>
        <w:t>：业务流程中涉及到的各种需要打印的表格的模板设置。</w:t>
      </w:r>
    </w:p>
    <w:p>
      <w:pPr>
        <w:pStyle w:val="15"/>
        <w:numPr>
          <w:ilvl w:val="0"/>
          <w:numId w:val="3"/>
        </w:numPr>
        <w:spacing w:line="480" w:lineRule="exact"/>
        <w:ind w:firstLineChars="0"/>
        <w:jc w:val="left"/>
        <w:rPr>
          <w:rFonts w:asciiTheme="minorEastAsia" w:hAnsiTheme="minorEastAsia"/>
          <w:sz w:val="24"/>
          <w:szCs w:val="24"/>
        </w:rPr>
      </w:pPr>
      <w:r>
        <w:rPr>
          <w:rFonts w:hint="eastAsia" w:asciiTheme="minorEastAsia" w:hAnsiTheme="minorEastAsia"/>
          <w:b/>
          <w:sz w:val="24"/>
          <w:szCs w:val="24"/>
        </w:rPr>
        <w:t>审批流程设备</w:t>
      </w:r>
      <w:r>
        <w:rPr>
          <w:rFonts w:hint="eastAsia" w:asciiTheme="minorEastAsia" w:hAnsiTheme="minorEastAsia"/>
          <w:sz w:val="24"/>
          <w:szCs w:val="24"/>
        </w:rPr>
        <w:t>：设置系统中生产令、采购合同和采购计划、领用单和请购单的审批流程（无、审批，审批</w:t>
      </w:r>
      <w:r>
        <w:rPr/>
        <w:sym w:font="Wingdings" w:char="F0E0"/>
      </w:r>
      <w:r>
        <w:rPr>
          <w:rFonts w:hint="eastAsia" w:asciiTheme="minorEastAsia" w:hAnsiTheme="minorEastAsia"/>
          <w:sz w:val="24"/>
          <w:szCs w:val="24"/>
        </w:rPr>
        <w:t>审计）。</w:t>
      </w:r>
    </w:p>
    <w:p>
      <w:pPr>
        <w:pStyle w:val="15"/>
        <w:numPr>
          <w:ilvl w:val="0"/>
          <w:numId w:val="3"/>
        </w:numPr>
        <w:spacing w:line="480" w:lineRule="exact"/>
        <w:ind w:firstLineChars="0"/>
        <w:jc w:val="left"/>
        <w:rPr>
          <w:rFonts w:asciiTheme="minorEastAsia" w:hAnsiTheme="minorEastAsia"/>
          <w:sz w:val="24"/>
          <w:szCs w:val="24"/>
        </w:rPr>
      </w:pPr>
      <w:r>
        <w:rPr>
          <w:rFonts w:hint="eastAsia" w:asciiTheme="minorEastAsia" w:hAnsiTheme="minorEastAsia"/>
          <w:b/>
          <w:sz w:val="24"/>
          <w:szCs w:val="24"/>
        </w:rPr>
        <w:t>其它</w:t>
      </w:r>
      <w:r>
        <w:rPr>
          <w:rFonts w:hint="eastAsia" w:asciiTheme="minorEastAsia" w:hAnsiTheme="minorEastAsia"/>
          <w:sz w:val="24"/>
          <w:szCs w:val="24"/>
        </w:rPr>
        <w:t>：例如供应商管理（</w:t>
      </w:r>
      <w:r>
        <w:rPr>
          <w:rFonts w:hint="eastAsia" w:asciiTheme="minorEastAsia" w:hAnsiTheme="minorEastAsia"/>
          <w:color w:val="00B050"/>
          <w:sz w:val="24"/>
          <w:szCs w:val="24"/>
        </w:rPr>
        <w:t>供应商信息维护</w:t>
      </w:r>
      <w:r>
        <w:rPr>
          <w:rFonts w:hint="eastAsia" w:asciiTheme="minorEastAsia" w:hAnsiTheme="minorEastAsia"/>
          <w:sz w:val="24"/>
          <w:szCs w:val="24"/>
        </w:rPr>
        <w:t>），</w:t>
      </w:r>
      <w:r>
        <w:rPr>
          <w:rFonts w:hint="eastAsia" w:asciiTheme="minorEastAsia" w:hAnsiTheme="minorEastAsia"/>
          <w:color w:val="000000" w:themeColor="text1"/>
          <w:sz w:val="24"/>
          <w:szCs w:val="24"/>
        </w:rPr>
        <w:t>MES设置</w:t>
      </w:r>
      <w:r>
        <w:rPr>
          <w:rFonts w:hint="eastAsia" w:asciiTheme="minorEastAsia" w:hAnsiTheme="minorEastAsia"/>
          <w:sz w:val="24"/>
          <w:szCs w:val="24"/>
        </w:rPr>
        <w:t>（</w:t>
      </w:r>
      <w:r>
        <w:rPr>
          <w:rFonts w:hint="eastAsia" w:asciiTheme="minorEastAsia" w:hAnsiTheme="minorEastAsia"/>
          <w:color w:val="00B050"/>
          <w:sz w:val="24"/>
          <w:szCs w:val="24"/>
        </w:rPr>
        <w:t>生产过程中几个重要环节的处理方式</w:t>
      </w:r>
      <w:r>
        <w:rPr>
          <w:rFonts w:hint="eastAsia" w:ascii="楷体" w:hAnsi="楷体" w:eastAsia="楷体"/>
          <w:color w:val="00B050"/>
          <w:szCs w:val="21"/>
        </w:rPr>
        <w:t>（如报完工时是采用时动工时还是定额）</w:t>
      </w:r>
      <w:r>
        <w:rPr>
          <w:rFonts w:hint="eastAsia" w:asciiTheme="minorEastAsia" w:hAnsiTheme="minorEastAsia"/>
          <w:color w:val="00B050"/>
          <w:sz w:val="24"/>
          <w:szCs w:val="24"/>
        </w:rPr>
        <w:t>的设置</w:t>
      </w:r>
      <w:r>
        <w:rPr>
          <w:rFonts w:hint="eastAsia" w:asciiTheme="minorEastAsia" w:hAnsiTheme="minorEastAsia"/>
          <w:sz w:val="24"/>
          <w:szCs w:val="24"/>
        </w:rPr>
        <w:t>），质检组设置（</w:t>
      </w:r>
      <w:r>
        <w:rPr>
          <w:rFonts w:hint="eastAsia" w:asciiTheme="minorEastAsia" w:hAnsiTheme="minorEastAsia"/>
          <w:color w:val="00B050"/>
          <w:sz w:val="24"/>
          <w:szCs w:val="24"/>
        </w:rPr>
        <w:t>各质检组信息的维护</w:t>
      </w:r>
      <w:r>
        <w:rPr>
          <w:rFonts w:hint="eastAsia" w:asciiTheme="minorEastAsia" w:hAnsiTheme="minorEastAsia"/>
          <w:sz w:val="24"/>
          <w:szCs w:val="24"/>
        </w:rPr>
        <w:t>）质检组权限设置（</w:t>
      </w:r>
      <w:r>
        <w:rPr>
          <w:rFonts w:hint="eastAsia" w:asciiTheme="minorEastAsia" w:hAnsiTheme="minorEastAsia"/>
          <w:color w:val="00B050"/>
          <w:sz w:val="24"/>
          <w:szCs w:val="24"/>
        </w:rPr>
        <w:t>各质检组质检权限的设置</w:t>
      </w:r>
      <w:r>
        <w:rPr>
          <w:rFonts w:hint="eastAsia" w:asciiTheme="minorEastAsia" w:hAnsiTheme="minorEastAsia"/>
          <w:sz w:val="24"/>
          <w:szCs w:val="24"/>
        </w:rPr>
        <w:t>）。</w:t>
      </w:r>
    </w:p>
    <w:p>
      <w:pPr>
        <w:pStyle w:val="3"/>
        <w:numPr>
          <w:ilvl w:val="0"/>
          <w:numId w:val="2"/>
        </w:numPr>
      </w:pPr>
      <w:r>
        <w:rPr>
          <w:rFonts w:hint="eastAsia"/>
        </w:rPr>
        <w:t>技术保障</w:t>
      </w:r>
    </w:p>
    <w:p>
      <w:pPr>
        <w:spacing w:line="480" w:lineRule="exact"/>
        <w:ind w:firstLine="482"/>
        <w:rPr>
          <w:rFonts w:ascii="宋体" w:hAnsi="宋体"/>
          <w:sz w:val="24"/>
          <w:szCs w:val="24"/>
        </w:rPr>
      </w:pPr>
      <w:r>
        <w:rPr>
          <w:rFonts w:hint="eastAsia" w:ascii="宋体" w:hAnsi="宋体"/>
          <w:sz w:val="24"/>
          <w:szCs w:val="24"/>
        </w:rPr>
        <w:t>技术数据（包括设计bom、图档资料、变更信息、工艺、材料定额等等）是生产过程所需要的基础数据，是生产管理模块的技术支撑与技术保障，要求应该做到及时、准确、完整。主要内容如下：</w:t>
      </w:r>
    </w:p>
    <w:p>
      <w:pPr>
        <w:pStyle w:val="15"/>
        <w:numPr>
          <w:ilvl w:val="0"/>
          <w:numId w:val="4"/>
        </w:numPr>
        <w:spacing w:line="480" w:lineRule="exact"/>
        <w:ind w:firstLineChars="0"/>
        <w:jc w:val="left"/>
        <w:rPr>
          <w:rFonts w:asciiTheme="minorEastAsia" w:hAnsiTheme="minorEastAsia"/>
          <w:b/>
          <w:sz w:val="24"/>
          <w:szCs w:val="24"/>
        </w:rPr>
      </w:pPr>
      <w:r>
        <w:rPr>
          <w:rFonts w:hint="eastAsia" w:asciiTheme="minorEastAsia" w:hAnsiTheme="minorEastAsia"/>
          <w:b/>
          <w:sz w:val="24"/>
          <w:szCs w:val="24"/>
        </w:rPr>
        <w:t>产品数据管理：</w:t>
      </w:r>
      <w:r>
        <w:rPr>
          <w:rFonts w:hint="eastAsia" w:asciiTheme="minorEastAsia" w:hAnsiTheme="minorEastAsia"/>
          <w:sz w:val="24"/>
          <w:szCs w:val="24"/>
        </w:rPr>
        <w:t>这是系统除系统管理相关设置外的入口点，之后用的到所有技术数据都是以它为基础进行的，它包括产品分类管理，产品图档和BOM管理，产品变更。其中，产品分类管理是是维护产品的分类信息；产品图档和BOM管理是系统通过提取已设计好的DWG或是caxa图纸，自动产生产品BOM结构并且将图纸存入系统，以供之后需要时可以直接调出浏览；产品变更则是图纸发生与生产相关的变更后所进行的一系统处理。</w:t>
      </w:r>
    </w:p>
    <w:p>
      <w:pPr>
        <w:pStyle w:val="15"/>
        <w:numPr>
          <w:ilvl w:val="0"/>
          <w:numId w:val="4"/>
        </w:numPr>
        <w:spacing w:line="480" w:lineRule="exact"/>
        <w:ind w:firstLineChars="0"/>
        <w:jc w:val="left"/>
        <w:rPr>
          <w:rFonts w:asciiTheme="minorEastAsia" w:hAnsiTheme="minorEastAsia"/>
          <w:b/>
          <w:sz w:val="24"/>
          <w:szCs w:val="24"/>
        </w:rPr>
      </w:pPr>
      <w:r>
        <w:rPr>
          <w:rFonts w:hint="eastAsia" w:asciiTheme="minorEastAsia" w:hAnsiTheme="minorEastAsia"/>
          <w:b/>
          <w:sz w:val="24"/>
          <w:szCs w:val="24"/>
        </w:rPr>
        <w:t>工艺设计与管理：</w:t>
      </w:r>
      <w:r>
        <w:rPr>
          <w:rFonts w:hint="eastAsia" w:asciiTheme="minorEastAsia" w:hAnsiTheme="minorEastAsia"/>
          <w:sz w:val="24"/>
          <w:szCs w:val="24"/>
        </w:rPr>
        <w:t>它</w:t>
      </w:r>
      <w:r>
        <w:rPr>
          <w:rFonts w:hint="eastAsia" w:ascii="宋体" w:hAnsi="宋体"/>
          <w:kern w:val="0"/>
          <w:sz w:val="24"/>
          <w:szCs w:val="24"/>
        </w:rPr>
        <w:t>确定了零部件的制作过程和安装方法及工时、同时也确定了安装工作地（厂内制作或工地安装），以工艺数据为核心覆盖工艺各个层次的管理。它</w:t>
      </w:r>
      <w:r>
        <w:rPr>
          <w:rFonts w:hint="eastAsia" w:asciiTheme="minorEastAsia" w:hAnsiTheme="minorEastAsia"/>
          <w:sz w:val="24"/>
          <w:szCs w:val="24"/>
        </w:rPr>
        <w:t>包括工艺过程设计、材料定额设计、工时定额设计以及与这些设计相关的基础数据的维护及设计结果的统计汇总功能。</w:t>
      </w:r>
    </w:p>
    <w:p>
      <w:pPr>
        <w:pStyle w:val="15"/>
        <w:numPr>
          <w:ilvl w:val="0"/>
          <w:numId w:val="4"/>
        </w:numPr>
        <w:spacing w:line="480" w:lineRule="exact"/>
        <w:ind w:firstLineChars="0"/>
        <w:jc w:val="left"/>
        <w:rPr>
          <w:rFonts w:asciiTheme="minorEastAsia" w:hAnsiTheme="minorEastAsia"/>
          <w:b/>
          <w:sz w:val="24"/>
          <w:szCs w:val="24"/>
        </w:rPr>
      </w:pPr>
      <w:r>
        <w:rPr>
          <w:rFonts w:hint="eastAsia" w:asciiTheme="minorEastAsia" w:hAnsiTheme="minorEastAsia"/>
          <w:b/>
          <w:sz w:val="24"/>
          <w:szCs w:val="24"/>
        </w:rPr>
        <w:t>物料编码：</w:t>
      </w:r>
      <w:r>
        <w:rPr>
          <w:rFonts w:hint="eastAsia" w:ascii="宋体" w:hAnsi="宋体"/>
          <w:sz w:val="24"/>
          <w:szCs w:val="24"/>
        </w:rPr>
        <w:t>物料编码确定物料描述的规范性和唯一性。确定物料编码准则，然后根据生产BOM或产品BOM所描述的零部件信息和类别以及工艺数据信息，由软件系统根据编码规则，自动产生各类标准件编码和原材料编码，提交人工审核。它</w:t>
      </w:r>
      <w:r>
        <w:rPr>
          <w:rFonts w:hint="eastAsia" w:asciiTheme="minorEastAsia" w:hAnsiTheme="minorEastAsia"/>
          <w:sz w:val="24"/>
          <w:szCs w:val="24"/>
        </w:rPr>
        <w:t>包括产品标准件编码、原材料编码以及与产生这些编码相关的一些编码规则的维护。</w:t>
      </w:r>
    </w:p>
    <w:p>
      <w:pPr>
        <w:pStyle w:val="3"/>
        <w:numPr>
          <w:ilvl w:val="0"/>
          <w:numId w:val="2"/>
        </w:numPr>
      </w:pPr>
      <w:r>
        <w:rPr>
          <w:rFonts w:hint="eastAsia"/>
        </w:rPr>
        <w:t>生产管理</w:t>
      </w:r>
    </w:p>
    <w:p>
      <w:pPr>
        <w:spacing w:line="480" w:lineRule="exact"/>
        <w:ind w:firstLine="482"/>
        <w:rPr>
          <w:rFonts w:ascii="宋体" w:hAnsi="宋体"/>
          <w:sz w:val="24"/>
          <w:szCs w:val="24"/>
        </w:rPr>
      </w:pPr>
      <w:r>
        <w:rPr>
          <w:rFonts w:hint="eastAsia" w:ascii="宋体" w:hAnsi="宋体"/>
          <w:sz w:val="24"/>
          <w:szCs w:val="24"/>
        </w:rPr>
        <w:t>生产管理是本系统最重要的模块，它涵盖了从下生产令到委外与采购，以及车间加工等一系统内容，是本系统的重中之重，其它两个模块所做工作都是为生产管理模块服务的。</w:t>
      </w:r>
    </w:p>
    <w:p>
      <w:pPr>
        <w:pStyle w:val="15"/>
        <w:numPr>
          <w:ilvl w:val="0"/>
          <w:numId w:val="5"/>
        </w:numPr>
        <w:spacing w:line="480" w:lineRule="exact"/>
        <w:ind w:firstLineChars="0"/>
        <w:jc w:val="left"/>
        <w:rPr>
          <w:rFonts w:asciiTheme="minorEastAsia" w:hAnsiTheme="minorEastAsia"/>
          <w:b/>
          <w:sz w:val="24"/>
          <w:szCs w:val="24"/>
        </w:rPr>
      </w:pPr>
      <w:r>
        <w:rPr>
          <w:rFonts w:hint="eastAsia" w:asciiTheme="minorEastAsia" w:hAnsiTheme="minorEastAsia"/>
          <w:b/>
          <w:sz w:val="24"/>
          <w:szCs w:val="24"/>
        </w:rPr>
        <w:t>生产令：</w:t>
      </w:r>
      <w:r>
        <w:rPr>
          <w:rFonts w:hint="eastAsia" w:ascii="宋体" w:hAnsi="宋体"/>
          <w:sz w:val="24"/>
          <w:szCs w:val="24"/>
        </w:rPr>
        <w:t>基于厂内订单或自制的生产主计划,支持按部装制定生产工作令，建立按部装产生和管理生产计划，</w:t>
      </w:r>
      <w:r>
        <w:rPr>
          <w:rFonts w:hint="eastAsia" w:ascii="宋体" w:hAnsi="宋体"/>
          <w:kern w:val="0"/>
          <w:sz w:val="24"/>
          <w:szCs w:val="24"/>
        </w:rPr>
        <w:t>依据技术BOM和工艺数据，经过MRP运算，自动进行任务分解，将生产任务分解为车间制作、委外采购，并将计划下达到各部门和车间。</w:t>
      </w:r>
      <w:r>
        <w:rPr>
          <w:rFonts w:hint="eastAsia" w:ascii="宋体" w:hAnsi="宋体"/>
        </w:rPr>
        <w:t>它主要</w:t>
      </w:r>
      <w:r>
        <w:rPr>
          <w:rFonts w:hint="eastAsia" w:asciiTheme="minorEastAsia" w:hAnsiTheme="minorEastAsia"/>
          <w:sz w:val="24"/>
          <w:szCs w:val="24"/>
        </w:rPr>
        <w:t>包括新建生产令，生产BOM维护，生产令分解，生产计划下达等。</w:t>
      </w:r>
    </w:p>
    <w:p>
      <w:pPr>
        <w:pStyle w:val="15"/>
        <w:numPr>
          <w:ilvl w:val="0"/>
          <w:numId w:val="5"/>
        </w:numPr>
        <w:spacing w:line="480" w:lineRule="exact"/>
        <w:ind w:firstLineChars="0"/>
        <w:jc w:val="left"/>
        <w:rPr>
          <w:rFonts w:asciiTheme="minorEastAsia" w:hAnsiTheme="minorEastAsia"/>
          <w:b/>
          <w:sz w:val="24"/>
          <w:szCs w:val="24"/>
        </w:rPr>
      </w:pPr>
      <w:r>
        <w:rPr>
          <w:rFonts w:hint="eastAsia" w:asciiTheme="minorEastAsia" w:hAnsiTheme="minorEastAsia"/>
          <w:b/>
          <w:sz w:val="24"/>
          <w:szCs w:val="24"/>
        </w:rPr>
        <w:t>采购与委外：</w:t>
      </w:r>
      <w:r>
        <w:rPr>
          <w:rFonts w:hint="eastAsia" w:ascii="宋体" w:hAnsi="宋体"/>
          <w:kern w:val="0"/>
          <w:sz w:val="24"/>
          <w:szCs w:val="24"/>
        </w:rPr>
        <w:t>委外与采购模块按需求计划执行,负责材料采购、外包业务、工序外协业务处理。它主要</w:t>
      </w:r>
      <w:r>
        <w:rPr>
          <w:rFonts w:hint="eastAsia" w:asciiTheme="minorEastAsia" w:hAnsiTheme="minorEastAsia"/>
          <w:sz w:val="24"/>
          <w:szCs w:val="24"/>
        </w:rPr>
        <w:t>包括供应商管理，任务分派，新建计划，新建合同，合同的审批、审计，执行合同，到货登记并提交质检，质检并提交入库，库房入账，质检并生成入库单或转移单提交相关部门，相关部门负责人接收单据或单据入帐等。</w:t>
      </w:r>
    </w:p>
    <w:p>
      <w:pPr>
        <w:pStyle w:val="15"/>
        <w:numPr>
          <w:ilvl w:val="0"/>
          <w:numId w:val="5"/>
        </w:numPr>
        <w:spacing w:line="480" w:lineRule="exact"/>
        <w:ind w:firstLineChars="0"/>
        <w:jc w:val="left"/>
        <w:rPr>
          <w:rFonts w:asciiTheme="minorEastAsia" w:hAnsiTheme="minorEastAsia"/>
          <w:b/>
          <w:sz w:val="24"/>
          <w:szCs w:val="24"/>
        </w:rPr>
      </w:pPr>
      <w:r>
        <w:rPr>
          <w:rFonts w:hint="eastAsia" w:asciiTheme="minorEastAsia" w:hAnsiTheme="minorEastAsia"/>
          <w:b/>
          <w:sz w:val="24"/>
          <w:szCs w:val="24"/>
        </w:rPr>
        <w:t>车间执行控制：</w:t>
      </w:r>
      <w:r>
        <w:rPr>
          <w:rFonts w:hint="eastAsia" w:ascii="宋体" w:hAnsi="宋体"/>
          <w:kern w:val="0"/>
          <w:sz w:val="24"/>
          <w:szCs w:val="24"/>
        </w:rPr>
        <w:t>车间工序是生产进度、生产成本和质量信息的最基本信息单元，</w:t>
      </w:r>
      <w:r>
        <w:rPr>
          <w:rFonts w:hint="eastAsia" w:asciiTheme="minorEastAsia" w:hAnsiTheme="minorEastAsia"/>
          <w:spacing w:val="10"/>
          <w:sz w:val="24"/>
          <w:szCs w:val="24"/>
        </w:rPr>
        <w:t>需要车间制作的零件或构件按预先确定的工艺路线执行。它主要</w:t>
      </w:r>
      <w:r>
        <w:rPr>
          <w:rFonts w:hint="eastAsia" w:asciiTheme="minorEastAsia" w:hAnsiTheme="minorEastAsia"/>
          <w:sz w:val="24"/>
          <w:szCs w:val="24"/>
        </w:rPr>
        <w:t>包括物料限额领用或配送，车间作业分派，车间过程准转，生成入库或协作转移单提交质检，质检并提交相关部门，相关部门负责人接收单据或单据入帐等。</w:t>
      </w:r>
    </w:p>
    <w:p>
      <w:pPr>
        <w:spacing w:line="480" w:lineRule="exact"/>
        <w:jc w:val="left"/>
        <w:rPr>
          <w:rFonts w:ascii="楷体" w:hAnsi="楷体" w:eastAsia="楷体"/>
          <w:sz w:val="24"/>
          <w:szCs w:val="24"/>
        </w:rPr>
      </w:pPr>
      <w:r>
        <w:rPr>
          <w:rFonts w:hint="eastAsia" w:ascii="楷体" w:hAnsi="楷体" w:eastAsia="楷体"/>
          <w:sz w:val="24"/>
          <w:szCs w:val="24"/>
        </w:rPr>
        <w:t>另外，贯穿整个生产过程或是伴随着生产过程还产生了其它的一些重要信息，主要内容如下：</w:t>
      </w:r>
    </w:p>
    <w:p>
      <w:pPr>
        <w:pStyle w:val="15"/>
        <w:numPr>
          <w:ilvl w:val="0"/>
          <w:numId w:val="6"/>
        </w:numPr>
        <w:spacing w:line="480" w:lineRule="exact"/>
        <w:ind w:firstLineChars="0"/>
        <w:jc w:val="left"/>
        <w:rPr>
          <w:rFonts w:asciiTheme="minorEastAsia" w:hAnsiTheme="minorEastAsia"/>
          <w:b/>
          <w:sz w:val="24"/>
          <w:szCs w:val="24"/>
        </w:rPr>
      </w:pPr>
      <w:r>
        <w:rPr>
          <w:rFonts w:hint="eastAsia" w:asciiTheme="minorEastAsia" w:hAnsiTheme="minorEastAsia"/>
          <w:b/>
          <w:sz w:val="24"/>
          <w:szCs w:val="24"/>
        </w:rPr>
        <w:t>进度监控与预警：</w:t>
      </w:r>
      <w:r>
        <w:rPr>
          <w:rFonts w:hint="eastAsia" w:ascii="宋体" w:hAnsi="宋体"/>
          <w:sz w:val="24"/>
          <w:szCs w:val="24"/>
        </w:rPr>
        <w:t>实现生产系统执行过程的进度情况的查询与监控，系统可实现多角度的生产进度实时监控，并可根据预先的计划时间要求和预先设定的预警级别进行预警，其内容主要</w:t>
      </w:r>
      <w:r>
        <w:rPr>
          <w:rFonts w:hint="eastAsia" w:asciiTheme="minorEastAsia" w:hAnsiTheme="minorEastAsia"/>
          <w:sz w:val="24"/>
          <w:szCs w:val="24"/>
        </w:rPr>
        <w:t>包括</w:t>
      </w:r>
      <w:r>
        <w:rPr>
          <w:rFonts w:hint="eastAsia" w:cs="宋体" w:asciiTheme="minorEastAsia" w:hAnsiTheme="minorEastAsia"/>
          <w:bCs/>
          <w:color w:val="000000"/>
          <w:kern w:val="0"/>
          <w:sz w:val="24"/>
          <w:szCs w:val="24"/>
          <w:lang w:val="zh-CN"/>
        </w:rPr>
        <w:t>项目进度监控，生产令进度监控，车间进度监控，采购与委外进度监控，工作中心进度监控等。</w:t>
      </w:r>
    </w:p>
    <w:p>
      <w:pPr>
        <w:pStyle w:val="15"/>
        <w:numPr>
          <w:ilvl w:val="0"/>
          <w:numId w:val="6"/>
        </w:numPr>
        <w:spacing w:line="480" w:lineRule="exact"/>
        <w:ind w:firstLineChars="0"/>
        <w:jc w:val="left"/>
        <w:rPr>
          <w:rFonts w:asciiTheme="minorEastAsia" w:hAnsiTheme="minorEastAsia"/>
          <w:sz w:val="24"/>
          <w:szCs w:val="24"/>
        </w:rPr>
      </w:pPr>
      <w:r>
        <w:rPr>
          <w:rFonts w:hint="eastAsia" w:asciiTheme="minorEastAsia" w:hAnsiTheme="minorEastAsia"/>
          <w:b/>
          <w:sz w:val="24"/>
          <w:szCs w:val="24"/>
        </w:rPr>
        <w:t>高级排程与实时调度：</w:t>
      </w:r>
      <w:r>
        <w:rPr>
          <w:rFonts w:hint="eastAsia" w:ascii="宋体" w:hAnsi="宋体"/>
          <w:sz w:val="24"/>
          <w:szCs w:val="24"/>
        </w:rPr>
        <w:t>依据生产执行过程所反馈的信息，针对执行过程所出现的各种异常，提供了相对应的控制方法和手段，使生产过程处于稳定运行状态，其主要内容</w:t>
      </w:r>
      <w:r>
        <w:rPr>
          <w:rFonts w:hint="eastAsia" w:asciiTheme="minorEastAsia" w:hAnsiTheme="minorEastAsia"/>
          <w:sz w:val="24"/>
          <w:szCs w:val="24"/>
        </w:rPr>
        <w:t>包括紧急插单，订单优先级调整，工序延迟到达，设备维护与故障，日历调整，设计及工艺变更等。</w:t>
      </w:r>
    </w:p>
    <w:p>
      <w:pPr>
        <w:pStyle w:val="15"/>
        <w:numPr>
          <w:ilvl w:val="0"/>
          <w:numId w:val="6"/>
        </w:numPr>
        <w:spacing w:line="480" w:lineRule="exact"/>
        <w:ind w:firstLineChars="0"/>
        <w:jc w:val="left"/>
        <w:rPr>
          <w:rFonts w:asciiTheme="minorEastAsia" w:hAnsiTheme="minorEastAsia"/>
          <w:b/>
          <w:sz w:val="24"/>
          <w:szCs w:val="24"/>
        </w:rPr>
      </w:pPr>
      <w:r>
        <w:rPr>
          <w:rFonts w:hint="eastAsia" w:asciiTheme="minorEastAsia" w:hAnsiTheme="minorEastAsia"/>
          <w:b/>
          <w:sz w:val="24"/>
          <w:szCs w:val="24"/>
        </w:rPr>
        <w:t>成本分析与追踪：</w:t>
      </w:r>
      <w:r>
        <w:rPr>
          <w:rFonts w:hint="eastAsia" w:asciiTheme="minorEastAsia" w:hAnsiTheme="minorEastAsia"/>
          <w:sz w:val="24"/>
          <w:szCs w:val="24"/>
        </w:rPr>
        <w:t>系统</w:t>
      </w:r>
      <w:r>
        <w:rPr>
          <w:rFonts w:hint="eastAsia" w:ascii="宋体" w:hAnsi="宋体"/>
          <w:kern w:val="0"/>
          <w:sz w:val="24"/>
          <w:szCs w:val="24"/>
        </w:rPr>
        <w:t>在生产过程执行业务流的同时，实时产生物流成本和过程成本，可细化到工序，并可追溯分析项目、工程、产品、零件、构件细化到工序的成本构成，其主要内容</w:t>
      </w:r>
      <w:r>
        <w:rPr>
          <w:rFonts w:hint="eastAsia" w:asciiTheme="minorEastAsia" w:hAnsiTheme="minorEastAsia"/>
          <w:sz w:val="24"/>
          <w:szCs w:val="24"/>
        </w:rPr>
        <w:t>包括项目成本分析，生产令成本分析，月度成本分析，工作中心成本分析，车间成本分析，成本进度跟踪等。</w:t>
      </w:r>
    </w:p>
    <w:p>
      <w:pPr>
        <w:pStyle w:val="15"/>
        <w:numPr>
          <w:ilvl w:val="0"/>
          <w:numId w:val="6"/>
        </w:numPr>
        <w:spacing w:line="480" w:lineRule="exact"/>
        <w:ind w:firstLineChars="0"/>
        <w:jc w:val="left"/>
        <w:rPr>
          <w:rFonts w:asciiTheme="minorEastAsia" w:hAnsiTheme="minorEastAsia"/>
          <w:b/>
          <w:sz w:val="24"/>
          <w:szCs w:val="24"/>
        </w:rPr>
      </w:pPr>
      <w:r>
        <w:rPr>
          <w:rFonts w:hint="eastAsia" w:asciiTheme="minorEastAsia" w:hAnsiTheme="minorEastAsia"/>
          <w:b/>
          <w:sz w:val="24"/>
          <w:szCs w:val="24"/>
        </w:rPr>
        <w:t>质量信息与追溯：</w:t>
      </w:r>
      <w:r>
        <w:rPr>
          <w:rFonts w:hint="eastAsia" w:ascii="宋体" w:hAnsi="宋体"/>
          <w:kern w:val="0"/>
          <w:sz w:val="24"/>
          <w:szCs w:val="24"/>
        </w:rPr>
        <w:t>生产过程中记录了产品和工序的详细质量信息，实现项目的质量分析和追溯管理。它</w:t>
      </w:r>
      <w:r>
        <w:rPr>
          <w:rFonts w:hint="eastAsia" w:asciiTheme="minorEastAsia" w:hAnsiTheme="minorEastAsia"/>
          <w:sz w:val="24"/>
          <w:szCs w:val="24"/>
        </w:rPr>
        <w:t>包括项目质量信息，生产令质量信息，车间质量信息，工作中心质量信息，供应商质量信息，工作质量信息，商量质量追溯，工序质量统计分析SPC等。</w:t>
      </w:r>
    </w:p>
    <w:p>
      <w:pPr>
        <w:pStyle w:val="15"/>
        <w:numPr>
          <w:ilvl w:val="0"/>
          <w:numId w:val="6"/>
        </w:numPr>
        <w:spacing w:line="480" w:lineRule="exact"/>
        <w:ind w:firstLineChars="0"/>
        <w:jc w:val="left"/>
        <w:rPr>
          <w:rFonts w:asciiTheme="minorEastAsia" w:hAnsiTheme="minorEastAsia"/>
          <w:b/>
          <w:sz w:val="24"/>
          <w:szCs w:val="24"/>
        </w:rPr>
      </w:pPr>
      <w:r>
        <w:rPr>
          <w:rFonts w:hint="eastAsia" w:asciiTheme="minorEastAsia" w:hAnsiTheme="minorEastAsia"/>
          <w:b/>
          <w:sz w:val="24"/>
          <w:szCs w:val="24"/>
        </w:rPr>
        <w:t>库存与物流配送：</w:t>
      </w:r>
      <w:r>
        <w:rPr>
          <w:rFonts w:hint="eastAsia" w:asciiTheme="minorEastAsia" w:hAnsiTheme="minorEastAsia"/>
          <w:sz w:val="24"/>
          <w:szCs w:val="24"/>
        </w:rPr>
        <w:t>系统</w:t>
      </w:r>
      <w:r>
        <w:rPr>
          <w:rFonts w:hint="eastAsia" w:ascii="宋体" w:hAnsi="宋体"/>
          <w:kern w:val="0"/>
          <w:sz w:val="24"/>
          <w:szCs w:val="24"/>
        </w:rPr>
        <w:t>实时跟踪物流的状态，因此除了物料的库存控制，可查询到实时的库存信息，同时提供了物料的车间控制和车间盘点，可实时查</w:t>
      </w:r>
      <w:r>
        <w:rPr>
          <w:rFonts w:hint="eastAsia" w:asciiTheme="minorEastAsia" w:hAnsiTheme="minorEastAsia"/>
          <w:sz w:val="24"/>
          <w:szCs w:val="24"/>
        </w:rPr>
        <w:t>包括出入库情况，库存盘点，物流配送，二级车间库物流管理等。</w:t>
      </w:r>
    </w:p>
    <w:p>
      <w:pPr>
        <w:pStyle w:val="15"/>
        <w:numPr>
          <w:ilvl w:val="0"/>
          <w:numId w:val="6"/>
        </w:numPr>
        <w:spacing w:line="480" w:lineRule="exact"/>
        <w:ind w:firstLineChars="0"/>
        <w:jc w:val="left"/>
        <w:rPr>
          <w:rFonts w:asciiTheme="minorEastAsia" w:hAnsiTheme="minorEastAsia"/>
          <w:b/>
          <w:sz w:val="24"/>
          <w:szCs w:val="24"/>
        </w:rPr>
      </w:pPr>
      <w:r>
        <w:rPr>
          <w:rFonts w:hint="eastAsia" w:asciiTheme="minorEastAsia" w:hAnsiTheme="minorEastAsia"/>
          <w:b/>
          <w:sz w:val="24"/>
          <w:szCs w:val="24"/>
        </w:rPr>
        <w:t>生产进度统计分析：</w:t>
      </w:r>
      <w:r>
        <w:rPr>
          <w:rFonts w:hint="eastAsia" w:ascii="宋体" w:hAnsi="宋体"/>
          <w:sz w:val="24"/>
          <w:szCs w:val="24"/>
        </w:rPr>
        <w:t>根据生产执行过程的数据信息，系统可以对生产情况进行多方面的统计分析，为决策层提供依据</w:t>
      </w:r>
      <w:r>
        <w:rPr>
          <w:rFonts w:hint="eastAsia" w:asciiTheme="minorEastAsia" w:hAnsiTheme="minorEastAsia"/>
          <w:sz w:val="24"/>
          <w:szCs w:val="24"/>
        </w:rPr>
        <w:t>，其内容主要包括项目完成率统计分析，产品完成率统计分析，车间完成率统计分析，采购与委外统计分析，工时统计，工作中心效率分析等。</w:t>
      </w:r>
    </w:p>
    <w:p>
      <w:pPr>
        <w:spacing w:line="480" w:lineRule="exact"/>
        <w:jc w:val="left"/>
        <w:rPr>
          <w:rFonts w:asciiTheme="minorEastAsia" w:hAnsiTheme="minorEastAsia"/>
          <w:b/>
          <w:sz w:val="24"/>
          <w:szCs w:val="24"/>
        </w:rPr>
        <w:sectPr>
          <w:headerReference r:id="rId7" w:type="default"/>
          <w:footerReference r:id="rId8" w:type="default"/>
          <w:pgSz w:w="11906" w:h="16838"/>
          <w:pgMar w:top="1134" w:right="1134" w:bottom="1134" w:left="1134" w:header="851" w:footer="992" w:gutter="0"/>
          <w:cols w:space="425" w:num="1"/>
          <w:docGrid w:type="lines" w:linePitch="312" w:charSpace="0"/>
        </w:sectPr>
      </w:pPr>
    </w:p>
    <w:p>
      <w:pPr>
        <w:pStyle w:val="3"/>
      </w:pPr>
      <w:r>
        <w:rPr>
          <w:rFonts w:hint="eastAsia"/>
        </w:rPr>
        <w:t>附：系统主要流程图</w:t>
      </w:r>
    </w:p>
    <w:p>
      <w:pPr>
        <w:sectPr>
          <w:headerReference r:id="rId9" w:type="default"/>
          <w:footerReference r:id="rId10" w:type="default"/>
          <w:pgSz w:w="11906" w:h="16838"/>
          <w:pgMar w:top="1440" w:right="1134" w:bottom="1440" w:left="1134" w:header="851" w:footer="992" w:gutter="0"/>
          <w:cols w:space="425" w:num="1"/>
          <w:docGrid w:type="lines" w:linePitch="312" w:charSpace="0"/>
        </w:sectPr>
      </w:pPr>
      <w:r>
        <w:drawing>
          <wp:inline distT="0" distB="0" distL="0" distR="0">
            <wp:extent cx="6137910" cy="762190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6137910" cy="7621905"/>
                    </a:xfrm>
                    <a:prstGeom prst="rect">
                      <a:avLst/>
                    </a:prstGeom>
                    <a:noFill/>
                  </pic:spPr>
                </pic:pic>
              </a:graphicData>
            </a:graphic>
          </wp:inline>
        </w:drawing>
      </w:r>
    </w:p>
    <w:p/>
    <w:p>
      <w:pPr>
        <w:jc w:val="center"/>
      </w:pPr>
      <w:r>
        <w:object>
          <v:shape id="_x0000_i1026" o:spt="75" type="#_x0000_t75" style="height:441.75pt;width:672.75pt;" o:ole="t" filled="f" o:preferrelative="t" stroked="f" coordsize="21600,21600">
            <v:path/>
            <v:fill on="f" focussize="0,0"/>
            <v:stroke on="f" joinstyle="miter"/>
            <v:imagedata r:id="rId21" o:title=""/>
            <o:lock v:ext="edit" aspectratio="t"/>
            <w10:wrap type="none"/>
            <w10:anchorlock/>
          </v:shape>
          <o:OLEObject Type="Embed" ProgID="Visio.Drawing.11" ShapeID="_x0000_i1026" DrawAspect="Content" ObjectID="_1468075726" r:id="rId20">
            <o:LockedField>false</o:LockedField>
          </o:OLEObject>
        </w:object>
      </w:r>
    </w:p>
    <w:p>
      <w:pPr>
        <w:jc w:val="center"/>
      </w:pPr>
      <w:r>
        <w:object>
          <v:shape id="_x0000_i1027" o:spt="75" type="#_x0000_t75" style="height:452.25pt;width:669.75pt;" o:ole="t" filled="f" o:preferrelative="t" stroked="f" coordsize="21600,21600">
            <v:path/>
            <v:fill on="f" focussize="0,0"/>
            <v:stroke on="f" joinstyle="miter"/>
            <v:imagedata r:id="rId23" o:title=""/>
            <o:lock v:ext="edit" aspectratio="t"/>
            <w10:wrap type="none"/>
            <w10:anchorlock/>
          </v:shape>
          <o:OLEObject Type="Embed" ProgID="Visio.Drawing.11" ShapeID="_x0000_i1027" DrawAspect="Content" ObjectID="_1468075727" r:id="rId22">
            <o:LockedField>false</o:LockedField>
          </o:OLEObject>
        </w:object>
      </w:r>
    </w:p>
    <w:p>
      <w:pPr>
        <w:jc w:val="center"/>
      </w:pPr>
      <w:r>
        <w:object>
          <v:shape id="_x0000_i1028" o:spt="75" type="#_x0000_t75" style="height:450.75pt;width:665.25pt;" o:ole="t" filled="f" o:preferrelative="t" stroked="f" coordsize="21600,21600">
            <v:path/>
            <v:fill on="f" focussize="0,0"/>
            <v:stroke on="f" joinstyle="miter"/>
            <v:imagedata r:id="rId25" o:title=""/>
            <o:lock v:ext="edit" aspectratio="t"/>
            <w10:wrap type="none"/>
            <w10:anchorlock/>
          </v:shape>
          <o:OLEObject Type="Embed" ProgID="Visio.Drawing.11" ShapeID="_x0000_i1028" DrawAspect="Content" ObjectID="_1468075728" r:id="rId24">
            <o:LockedField>false</o:LockedField>
          </o:OLEObject>
        </w:object>
      </w:r>
    </w:p>
    <w:p>
      <w:pPr>
        <w:jc w:val="center"/>
      </w:pPr>
      <w:r>
        <w:object>
          <v:shape id="_x0000_i1029" o:spt="75" type="#_x0000_t75" style="height:455.25pt;width:660pt;" o:ole="t" filled="f" o:preferrelative="t" stroked="f" coordsize="21600,21600">
            <v:path/>
            <v:fill on="f" focussize="0,0"/>
            <v:stroke on="f" joinstyle="miter"/>
            <v:imagedata r:id="rId27" o:title=""/>
            <o:lock v:ext="edit" aspectratio="t"/>
            <w10:wrap type="none"/>
            <w10:anchorlock/>
          </v:shape>
          <o:OLEObject Type="Embed" ProgID="Visio.Drawing.11" ShapeID="_x0000_i1029" DrawAspect="Content" ObjectID="_1468075729" r:id="rId26">
            <o:LockedField>false</o:LockedField>
          </o:OLEObject>
        </w:object>
      </w:r>
    </w:p>
    <w:p>
      <w:pPr>
        <w:jc w:val="center"/>
      </w:pPr>
      <w:r>
        <w:object>
          <v:shape id="_x0000_i1030" o:spt="75" type="#_x0000_t75" style="height:415.5pt;width:663.75pt;" o:ole="t" filled="f" o:preferrelative="t" stroked="f" coordsize="21600,21600">
            <v:path/>
            <v:fill on="f" focussize="0,0"/>
            <v:stroke on="f" joinstyle="miter"/>
            <v:imagedata r:id="rId29" o:title=""/>
            <o:lock v:ext="edit" aspectratio="t"/>
            <w10:wrap type="none"/>
            <w10:anchorlock/>
          </v:shape>
          <o:OLEObject Type="Embed" ProgID="Visio.Drawing.11" ShapeID="_x0000_i1030" DrawAspect="Content" ObjectID="_1468075730" r:id="rId28">
            <o:LockedField>false</o:LockedField>
          </o:OLEObject>
        </w:object>
      </w:r>
    </w:p>
    <w:p>
      <w:pPr>
        <w:jc w:val="center"/>
      </w:pPr>
      <w:r>
        <w:object>
          <v:shape id="_x0000_i1031" o:spt="75" type="#_x0000_t75" style="height:445.5pt;width:545.25pt;" o:ole="t" filled="f" o:preferrelative="t" stroked="f" coordsize="21600,21600">
            <v:path/>
            <v:fill on="f" focussize="0,0"/>
            <v:stroke on="f" joinstyle="miter"/>
            <v:imagedata r:id="rId31" o:title=""/>
            <o:lock v:ext="edit" aspectratio="t"/>
            <w10:wrap type="none"/>
            <w10:anchorlock/>
          </v:shape>
          <o:OLEObject Type="Embed" ProgID="Visio.Drawing.11" ShapeID="_x0000_i1031" DrawAspect="Content" ObjectID="_1468075731" r:id="rId30">
            <o:LockedField>false</o:LockedField>
          </o:OLEObject>
        </w:object>
      </w:r>
    </w:p>
    <w:p>
      <w:pPr>
        <w:jc w:val="center"/>
      </w:pPr>
      <w:r>
        <w:object>
          <v:shape id="_x0000_i1032" o:spt="75" type="#_x0000_t75" style="height:415.5pt;width:607.5pt;" o:ole="t" filled="f" o:preferrelative="t" stroked="f" coordsize="21600,21600">
            <v:path/>
            <v:fill on="f" focussize="0,0"/>
            <v:stroke on="f" joinstyle="miter"/>
            <v:imagedata r:id="rId33" o:title=""/>
            <o:lock v:ext="edit" aspectratio="t"/>
            <w10:wrap type="none"/>
            <w10:anchorlock/>
          </v:shape>
          <o:OLEObject Type="Embed" ProgID="Visio.Drawing.11" ShapeID="_x0000_i1032" DrawAspect="Content" ObjectID="_1468075732" r:id="rId32">
            <o:LockedField>false</o:LockedField>
          </o:OLEObject>
        </w:object>
      </w:r>
    </w:p>
    <w:p>
      <w:pPr>
        <w:jc w:val="center"/>
        <w:sectPr>
          <w:headerReference r:id="rId11" w:type="default"/>
          <w:footerReference r:id="rId12" w:type="default"/>
          <w:pgSz w:w="16838" w:h="11906" w:orient="landscape"/>
          <w:pgMar w:top="1134" w:right="1440" w:bottom="1134" w:left="1440" w:header="851" w:footer="992" w:gutter="0"/>
          <w:cols w:space="425" w:num="1"/>
          <w:docGrid w:type="lines" w:linePitch="312" w:charSpace="0"/>
        </w:sectPr>
      </w:pPr>
    </w:p>
    <w:p>
      <w:pPr>
        <w:pStyle w:val="2"/>
        <w:numPr>
          <w:ilvl w:val="0"/>
          <w:numId w:val="1"/>
        </w:numPr>
        <w:spacing w:before="93" w:beforeLines="30" w:after="93" w:afterLines="30" w:line="360" w:lineRule="auto"/>
        <w:rPr>
          <w:rFonts w:ascii="仿宋" w:hAnsi="仿宋" w:eastAsia="仿宋"/>
          <w:sz w:val="36"/>
          <w:szCs w:val="36"/>
        </w:rPr>
      </w:pPr>
      <w:bookmarkStart w:id="22" w:name="_Toc307106571"/>
      <w:bookmarkStart w:id="23" w:name="_Toc309116845"/>
      <w:bookmarkStart w:id="24" w:name="_Toc104884289"/>
      <w:bookmarkStart w:id="25" w:name="_Toc309116629"/>
      <w:bookmarkStart w:id="26" w:name="_Toc299800017"/>
      <w:bookmarkStart w:id="27" w:name="_Toc306768357"/>
      <w:bookmarkStart w:id="28" w:name="_Toc366224475"/>
      <w:bookmarkStart w:id="29" w:name="_Toc357364032"/>
      <w:bookmarkStart w:id="30" w:name="_Toc307106477"/>
      <w:bookmarkStart w:id="31" w:name="_Toc299801806"/>
      <w:bookmarkStart w:id="32" w:name="_Toc281377227"/>
      <w:bookmarkStart w:id="33" w:name="_Toc357363719"/>
      <w:bookmarkStart w:id="34" w:name="_Toc104883964"/>
      <w:bookmarkStart w:id="35" w:name="_Toc371857515"/>
      <w:bookmarkStart w:id="36" w:name="_Toc281295968"/>
      <w:bookmarkStart w:id="37" w:name="_Toc306767114"/>
      <w:bookmarkStart w:id="38" w:name="_Toc306813633"/>
      <w:bookmarkStart w:id="39" w:name="_Toc281297167"/>
      <w:bookmarkStart w:id="40" w:name="_Toc407106728"/>
      <w:bookmarkStart w:id="41" w:name="_Toc407545066"/>
      <w:bookmarkStart w:id="42" w:name="_Toc307106274"/>
      <w:bookmarkStart w:id="43" w:name="_Toc371944255"/>
      <w:bookmarkStart w:id="44" w:name="_Toc298157638"/>
      <w:bookmarkStart w:id="45" w:name="_Toc281377310"/>
      <w:bookmarkStart w:id="46" w:name="_Toc297804021"/>
      <w:bookmarkStart w:id="47" w:name="_Toc363472661"/>
      <w:bookmarkStart w:id="48" w:name="_Toc281377151"/>
      <w:bookmarkStart w:id="49" w:name="_Toc297829592"/>
      <w:bookmarkStart w:id="50" w:name="_Toc297816680"/>
      <w:bookmarkStart w:id="51" w:name="_Toc363564329"/>
      <w:bookmarkStart w:id="52" w:name="_Toc371961785"/>
      <w:bookmarkStart w:id="53" w:name="_Toc297816916"/>
      <w:bookmarkStart w:id="54" w:name="_Toc416884817"/>
      <w:bookmarkStart w:id="55" w:name="_Toc417012083"/>
      <w:bookmarkStart w:id="56" w:name="_Toc309030633"/>
      <w:bookmarkStart w:id="57" w:name="_Toc297829480"/>
      <w:bookmarkStart w:id="58" w:name="_Toc281296232"/>
      <w:bookmarkStart w:id="59" w:name="_Toc305532477"/>
      <w:r>
        <w:rPr>
          <w:rFonts w:hint="eastAsia" w:ascii="仿宋" w:hAnsi="仿宋" w:eastAsia="仿宋"/>
          <w:sz w:val="36"/>
          <w:szCs w:val="36"/>
        </w:rPr>
        <w:t>运行环境</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pPr>
        <w:spacing w:line="480" w:lineRule="exact"/>
        <w:ind w:firstLine="480" w:firstLineChars="200"/>
        <w:rPr>
          <w:rFonts w:ascii="宋体" w:hAnsi="宋体"/>
          <w:sz w:val="24"/>
          <w:szCs w:val="24"/>
        </w:rPr>
      </w:pPr>
      <w:r>
        <w:rPr>
          <w:rFonts w:hint="eastAsia" w:ascii="宋体" w:hAnsi="宋体"/>
          <w:sz w:val="24"/>
          <w:szCs w:val="24"/>
        </w:rPr>
        <w:t>本系统运行在企业局域网络环境，软件系统采用C/S架构。</w:t>
      </w:r>
    </w:p>
    <w:p>
      <w:pPr>
        <w:spacing w:line="48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服务器：</w:t>
      </w:r>
    </w:p>
    <w:p>
      <w:pPr>
        <w:numPr>
          <w:ilvl w:val="0"/>
          <w:numId w:val="7"/>
        </w:numPr>
        <w:spacing w:line="360" w:lineRule="auto"/>
        <w:rPr>
          <w:rFonts w:ascii="仿宋_GB2312" w:eastAsia="仿宋_GB2312"/>
          <w:sz w:val="24"/>
          <w:szCs w:val="24"/>
        </w:rPr>
      </w:pPr>
      <w:r>
        <w:rPr>
          <w:rFonts w:hint="eastAsia" w:ascii="仿宋_GB2312" w:hAnsi="宋体" w:eastAsia="仿宋_GB2312"/>
          <w:b/>
          <w:sz w:val="24"/>
          <w:szCs w:val="24"/>
        </w:rPr>
        <w:t>操作系统：</w:t>
      </w:r>
      <w:r>
        <w:rPr>
          <w:rFonts w:hint="eastAsia" w:ascii="宋体" w:hAnsi="宋体"/>
          <w:sz w:val="24"/>
          <w:szCs w:val="24"/>
        </w:rPr>
        <w:t>windows2000server及以上</w:t>
      </w:r>
    </w:p>
    <w:p>
      <w:pPr>
        <w:numPr>
          <w:ilvl w:val="0"/>
          <w:numId w:val="7"/>
        </w:numPr>
        <w:spacing w:line="360" w:lineRule="auto"/>
        <w:rPr>
          <w:rFonts w:ascii="仿宋_GB2312" w:eastAsia="仿宋_GB2312"/>
          <w:sz w:val="24"/>
          <w:szCs w:val="24"/>
        </w:rPr>
      </w:pPr>
      <w:r>
        <w:rPr>
          <w:rFonts w:hint="eastAsia" w:ascii="仿宋_GB2312" w:hAnsi="宋体" w:eastAsia="仿宋_GB2312"/>
          <w:b/>
          <w:sz w:val="24"/>
          <w:szCs w:val="24"/>
        </w:rPr>
        <w:t>数据库：</w:t>
      </w:r>
      <w:r>
        <w:rPr>
          <w:rFonts w:hint="eastAsia" w:ascii="宋体" w:hAnsi="宋体"/>
          <w:sz w:val="24"/>
          <w:szCs w:val="24"/>
        </w:rPr>
        <w:t>MSSQLSERVER2000及以上</w:t>
      </w:r>
    </w:p>
    <w:p>
      <w:pPr>
        <w:numPr>
          <w:ilvl w:val="0"/>
          <w:numId w:val="7"/>
        </w:numPr>
        <w:spacing w:line="360" w:lineRule="auto"/>
        <w:rPr>
          <w:rFonts w:ascii="仿宋_GB2312" w:eastAsia="仿宋_GB2312"/>
          <w:sz w:val="24"/>
          <w:szCs w:val="24"/>
        </w:rPr>
      </w:pPr>
      <w:r>
        <w:rPr>
          <w:rFonts w:hint="eastAsia" w:ascii="仿宋_GB2312" w:hAnsi="宋体" w:eastAsia="仿宋_GB2312"/>
          <w:b/>
          <w:sz w:val="24"/>
          <w:szCs w:val="24"/>
        </w:rPr>
        <w:t>存储器：</w:t>
      </w:r>
      <w:r>
        <w:rPr>
          <w:rFonts w:hint="eastAsia" w:ascii="宋体" w:hAnsi="宋体"/>
          <w:sz w:val="24"/>
          <w:szCs w:val="24"/>
        </w:rPr>
        <w:t>存储数据库；存储设计图档和文档；</w:t>
      </w:r>
    </w:p>
    <w:p>
      <w:pPr>
        <w:numPr>
          <w:ilvl w:val="0"/>
          <w:numId w:val="7"/>
        </w:numPr>
        <w:spacing w:line="360" w:lineRule="auto"/>
        <w:rPr>
          <w:rFonts w:ascii="仿宋_GB2312" w:eastAsia="仿宋_GB2312"/>
          <w:sz w:val="24"/>
          <w:szCs w:val="24"/>
        </w:rPr>
      </w:pPr>
      <w:r>
        <w:rPr>
          <w:rFonts w:hint="eastAsia" w:ascii="仿宋_GB2312" w:hAnsi="宋体" w:eastAsia="仿宋_GB2312"/>
          <w:b/>
          <w:sz w:val="24"/>
          <w:szCs w:val="24"/>
        </w:rPr>
        <w:t>软件：</w:t>
      </w:r>
      <w:r>
        <w:rPr>
          <w:rFonts w:hint="eastAsia" w:ascii="宋体" w:hAnsi="宋体"/>
          <w:sz w:val="24"/>
          <w:szCs w:val="24"/>
        </w:rPr>
        <w:t>安装本系统的服务器端应用软件；</w:t>
      </w:r>
    </w:p>
    <w:p>
      <w:pPr>
        <w:spacing w:line="480" w:lineRule="exact"/>
        <w:ind w:firstLine="482" w:firstLineChars="200"/>
        <w:rPr>
          <w:rFonts w:ascii="宋体" w:hAnsi="宋体"/>
          <w:sz w:val="24"/>
          <w:szCs w:val="24"/>
        </w:rPr>
      </w:pPr>
      <w:r>
        <w:rPr>
          <w:rFonts w:hint="eastAsia" w:ascii="仿宋_GB2312" w:hAnsi="宋体" w:eastAsia="仿宋_GB2312"/>
          <w:b/>
          <w:sz w:val="24"/>
          <w:szCs w:val="24"/>
        </w:rPr>
        <w:t>客户端：</w:t>
      </w:r>
      <w:r>
        <w:rPr>
          <w:rFonts w:hint="eastAsia" w:ascii="宋体" w:hAnsi="宋体"/>
          <w:sz w:val="24"/>
          <w:szCs w:val="24"/>
        </w:rPr>
        <w:t>操作系统：windows；硬件要求：显示器：1024x768及以上；CPU：1G及以上；硬盘空间：安装客户端应用程序：100MB左右；网络：连接到服务器</w:t>
      </w:r>
    </w:p>
    <w:p>
      <w:pPr>
        <w:spacing w:line="480" w:lineRule="exact"/>
        <w:ind w:firstLine="480" w:firstLineChars="200"/>
        <w:rPr>
          <w:rFonts w:ascii="宋体" w:hAnsi="宋体"/>
          <w:sz w:val="24"/>
          <w:szCs w:val="24"/>
        </w:rPr>
      </w:pPr>
      <w:r>
        <w:rPr>
          <w:rFonts w:hint="eastAsia" w:ascii="宋体" w:hAnsi="宋体"/>
          <w:sz w:val="24"/>
          <w:szCs w:val="24"/>
        </w:rPr>
        <w:t>本系统功能涵盖的部门都应有至少1台的客户端；</w:t>
      </w:r>
    </w:p>
    <w:p>
      <w:pPr>
        <w:spacing w:line="480" w:lineRule="exact"/>
        <w:ind w:firstLine="482" w:firstLineChars="200"/>
        <w:rPr>
          <w:rFonts w:ascii="宋体" w:hAnsi="宋体"/>
          <w:sz w:val="24"/>
          <w:szCs w:val="24"/>
        </w:rPr>
      </w:pPr>
      <w:r>
        <w:rPr>
          <w:rFonts w:hint="eastAsia" w:ascii="仿宋_GB2312" w:hAnsi="宋体" w:eastAsia="仿宋_GB2312"/>
          <w:b/>
          <w:sz w:val="24"/>
          <w:szCs w:val="24"/>
        </w:rPr>
        <w:t>打印机：</w:t>
      </w:r>
      <w:r>
        <w:rPr>
          <w:rFonts w:hint="eastAsia" w:ascii="宋体" w:hAnsi="宋体"/>
          <w:sz w:val="24"/>
          <w:szCs w:val="24"/>
        </w:rPr>
        <w:t>车间应配置打印机，用以打印入库单、出库单、路线单</w:t>
      </w:r>
    </w:p>
    <w:p>
      <w:pPr>
        <w:spacing w:line="480" w:lineRule="exact"/>
        <w:ind w:firstLine="480" w:firstLineChars="200"/>
        <w:rPr>
          <w:rFonts w:ascii="宋体" w:hAnsi="宋体"/>
          <w:sz w:val="24"/>
          <w:szCs w:val="24"/>
        </w:rPr>
      </w:pPr>
      <w:r>
        <w:rPr>
          <w:rFonts w:hint="eastAsia" w:ascii="宋体" w:hAnsi="宋体"/>
          <w:sz w:val="24"/>
          <w:szCs w:val="24"/>
        </w:rPr>
        <w:t>采购部门应配置打印机，用以打印交验单</w:t>
      </w:r>
    </w:p>
    <w:p>
      <w:pPr>
        <w:spacing w:line="480" w:lineRule="exact"/>
        <w:ind w:firstLine="480" w:firstLineChars="200"/>
        <w:rPr>
          <w:rFonts w:ascii="宋体" w:hAnsi="宋体"/>
          <w:sz w:val="24"/>
          <w:szCs w:val="24"/>
        </w:rPr>
      </w:pPr>
      <w:r>
        <w:rPr>
          <w:rFonts w:hint="eastAsia" w:ascii="宋体" w:hAnsi="宋体"/>
          <w:sz w:val="24"/>
          <w:szCs w:val="24"/>
        </w:rPr>
        <w:t>工艺部门应配置打印机，用以打印工艺卡</w:t>
      </w:r>
    </w:p>
    <w:p>
      <w:pPr>
        <w:spacing w:line="480" w:lineRule="exact"/>
        <w:ind w:firstLine="482" w:firstLineChars="200"/>
        <w:rPr>
          <w:rFonts w:ascii="仿宋_GB2312" w:hAnsi="宋体" w:eastAsia="仿宋_GB2312"/>
          <w:sz w:val="24"/>
          <w:szCs w:val="24"/>
        </w:rPr>
      </w:pPr>
      <w:r>
        <w:rPr>
          <w:rFonts w:hint="eastAsia" w:ascii="仿宋_GB2312" w:hAnsi="宋体" w:eastAsia="仿宋_GB2312"/>
          <w:b/>
          <w:sz w:val="24"/>
          <w:szCs w:val="24"/>
        </w:rPr>
        <w:t>看板+扫描枪：</w:t>
      </w:r>
      <w:r>
        <w:rPr>
          <w:rFonts w:hint="eastAsia" w:ascii="宋体" w:hAnsi="宋体"/>
          <w:sz w:val="24"/>
          <w:szCs w:val="24"/>
        </w:rPr>
        <w:t>车间、质检可配置扫描枪</w:t>
      </w:r>
      <w:r>
        <w:rPr>
          <w:rFonts w:hint="eastAsia" w:ascii="宋体" w:hAnsi="宋体"/>
          <w:color w:val="FF0000"/>
          <w:sz w:val="24"/>
          <w:szCs w:val="24"/>
        </w:rPr>
        <w:t>（可选）</w:t>
      </w:r>
    </w:p>
    <w:p>
      <w:pPr>
        <w:spacing w:line="480" w:lineRule="exact"/>
        <w:ind w:firstLine="482" w:firstLineChars="200"/>
        <w:rPr>
          <w:rFonts w:ascii="宋体" w:hAnsi="宋体"/>
          <w:sz w:val="24"/>
          <w:szCs w:val="24"/>
        </w:rPr>
      </w:pPr>
      <w:r>
        <w:rPr>
          <w:rFonts w:hint="eastAsia" w:ascii="仿宋_GB2312" w:hAnsi="宋体" w:eastAsia="仿宋_GB2312"/>
          <w:b/>
          <w:sz w:val="24"/>
          <w:szCs w:val="24"/>
        </w:rPr>
        <w:t>LED大屏幕显示器：</w:t>
      </w:r>
      <w:r>
        <w:rPr>
          <w:rFonts w:hint="eastAsia" w:ascii="宋体" w:hAnsi="宋体"/>
          <w:sz w:val="24"/>
          <w:szCs w:val="24"/>
        </w:rPr>
        <w:t>各个车间及部门各配备一个</w:t>
      </w:r>
      <w:r>
        <w:rPr>
          <w:rFonts w:hint="eastAsia" w:ascii="宋体" w:hAnsi="宋体"/>
          <w:color w:val="FF0000"/>
          <w:sz w:val="24"/>
          <w:szCs w:val="24"/>
        </w:rPr>
        <w:t>（可选）</w:t>
      </w:r>
    </w:p>
    <w:p>
      <w:pPr>
        <w:jc w:val="center"/>
        <w:rPr>
          <w:sz w:val="24"/>
          <w:szCs w:val="24"/>
        </w:rPr>
      </w:pPr>
    </w:p>
    <w:sectPr>
      <w:headerReference r:id="rId13" w:type="default"/>
      <w:footerReference r:id="rId14"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180" w:firstLineChars="100"/>
      <w:jc w:val="center"/>
      <w:rPr>
        <w:rFonts w:ascii="宋体" w:hAnsi="宋体"/>
      </w:rPr>
    </w:pPr>
    <w:r>
      <w:rPr>
        <w:rStyle w:val="10"/>
        <w:rFonts w:hint="eastAsia" w:ascii="宋体" w:hAnsi="宋体"/>
      </w:rPr>
      <w:t xml:space="preserve">济南溥博信息技术有限公司            </w:t>
    </w:r>
    <w:r>
      <w:rPr>
        <w:rStyle w:val="10"/>
        <w:rFonts w:ascii="宋体" w:hAnsi="宋体"/>
      </w:rPr>
      <w:fldChar w:fldCharType="begin"/>
    </w:r>
    <w:r>
      <w:rPr>
        <w:rStyle w:val="10"/>
        <w:rFonts w:ascii="宋体" w:hAnsi="宋体"/>
      </w:rPr>
      <w:instrText xml:space="preserve">PAGE   \* MERGEFORMAT</w:instrText>
    </w:r>
    <w:r>
      <w:rPr>
        <w:rStyle w:val="10"/>
        <w:rFonts w:ascii="宋体" w:hAnsi="宋体"/>
      </w:rPr>
      <w:fldChar w:fldCharType="separate"/>
    </w:r>
    <w:r>
      <w:rPr>
        <w:rStyle w:val="10"/>
        <w:rFonts w:ascii="宋体" w:hAnsi="宋体"/>
      </w:rPr>
      <w:t>0</w:t>
    </w:r>
    <w:r>
      <w:rPr>
        <w:rStyle w:val="10"/>
        <w:rFonts w:ascii="宋体" w:hAnsi="宋体"/>
      </w:rPr>
      <w:fldChar w:fldCharType="end"/>
    </w:r>
    <w:r>
      <w:rPr>
        <w:rStyle w:val="10"/>
        <w:rFonts w:hint="eastAsia" w:ascii="宋体" w:hAnsi="宋体"/>
      </w:rPr>
      <w:t>山东大学机械学院CAD/CAM研究所</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180" w:firstLineChars="100"/>
      <w:jc w:val="center"/>
      <w:rPr>
        <w:rFonts w:ascii="宋体" w:hAnsi="宋体"/>
      </w:rPr>
    </w:pPr>
    <w:r>
      <w:rPr>
        <w:rStyle w:val="10"/>
        <w:rFonts w:ascii="宋体" w:hAnsi="宋体"/>
      </w:rPr>
      <w:fldChar w:fldCharType="begin"/>
    </w:r>
    <w:r>
      <w:rPr>
        <w:rStyle w:val="10"/>
        <w:rFonts w:ascii="宋体" w:hAnsi="宋体"/>
      </w:rPr>
      <w:instrText xml:space="preserve">PAGE   \* MERGEFORMAT</w:instrText>
    </w:r>
    <w:r>
      <w:rPr>
        <w:rStyle w:val="10"/>
        <w:rFonts w:ascii="宋体" w:hAnsi="宋体"/>
      </w:rPr>
      <w:fldChar w:fldCharType="separate"/>
    </w:r>
    <w:r>
      <w:rPr>
        <w:rStyle w:val="10"/>
        <w:rFonts w:ascii="宋体" w:hAnsi="宋体"/>
      </w:rPr>
      <w:t>2</w:t>
    </w:r>
    <w:r>
      <w:rPr>
        <w:rStyle w:val="10"/>
        <w:rFonts w:ascii="宋体" w:hAnsi="宋体"/>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180" w:firstLineChars="100"/>
      <w:jc w:val="center"/>
      <w:rPr>
        <w:rFonts w:ascii="宋体" w:hAnsi="宋体"/>
      </w:rPr>
    </w:pPr>
    <w:r>
      <w:rPr>
        <w:rStyle w:val="10"/>
        <w:rFonts w:ascii="宋体" w:hAnsi="宋体"/>
      </w:rPr>
      <w:fldChar w:fldCharType="begin"/>
    </w:r>
    <w:r>
      <w:rPr>
        <w:rStyle w:val="10"/>
        <w:rFonts w:ascii="宋体" w:hAnsi="宋体"/>
      </w:rPr>
      <w:instrText xml:space="preserve">PAGE   \* MERGEFORMAT</w:instrText>
    </w:r>
    <w:r>
      <w:rPr>
        <w:rStyle w:val="10"/>
        <w:rFonts w:ascii="宋体" w:hAnsi="宋体"/>
      </w:rPr>
      <w:fldChar w:fldCharType="separate"/>
    </w:r>
    <w:r>
      <w:rPr>
        <w:rStyle w:val="10"/>
        <w:rFonts w:ascii="宋体" w:hAnsi="宋体"/>
      </w:rPr>
      <w:t>4</w:t>
    </w:r>
    <w:r>
      <w:rPr>
        <w:rStyle w:val="10"/>
        <w:rFonts w:ascii="宋体" w:hAnsi="宋体"/>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180" w:firstLineChars="100"/>
      <w:jc w:val="center"/>
      <w:rPr>
        <w:rStyle w:val="10"/>
        <w:rFonts w:ascii="宋体" w:hAnsi="宋体"/>
      </w:rPr>
    </w:pPr>
    <w:r>
      <w:rPr>
        <w:rStyle w:val="10"/>
        <w:rFonts w:ascii="宋体" w:hAnsi="宋体"/>
      </w:rPr>
      <w:fldChar w:fldCharType="begin"/>
    </w:r>
    <w:r>
      <w:rPr>
        <w:rStyle w:val="10"/>
        <w:rFonts w:ascii="宋体" w:hAnsi="宋体"/>
      </w:rPr>
      <w:instrText xml:space="preserve">PAGE   \* MERGEFORMAT</w:instrText>
    </w:r>
    <w:r>
      <w:rPr>
        <w:rStyle w:val="10"/>
        <w:rFonts w:ascii="宋体" w:hAnsi="宋体"/>
      </w:rPr>
      <w:fldChar w:fldCharType="separate"/>
    </w:r>
    <w:r>
      <w:rPr>
        <w:rStyle w:val="10"/>
        <w:rFonts w:ascii="宋体" w:hAnsi="宋体"/>
      </w:rPr>
      <w:t>7</w:t>
    </w:r>
    <w:r>
      <w:rPr>
        <w:rStyle w:val="10"/>
        <w:rFonts w:ascii="宋体" w:hAnsi="宋体"/>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180" w:firstLineChars="100"/>
      <w:rPr>
        <w:rStyle w:val="10"/>
        <w:rFonts w:ascii="宋体" w:hAnsi="宋体"/>
      </w:rPr>
    </w:pPr>
    <w:r>
      <w:rPr>
        <w:rStyle w:val="10"/>
        <w:rFonts w:hint="eastAsia" w:ascii="宋体" w:hAnsi="宋体"/>
      </w:rPr>
      <w:t xml:space="preserve">                                          </w:t>
    </w:r>
    <w:r>
      <w:rPr>
        <w:rStyle w:val="10"/>
        <w:rFonts w:ascii="宋体" w:hAnsi="宋体"/>
      </w:rPr>
      <w:fldChar w:fldCharType="begin"/>
    </w:r>
    <w:r>
      <w:rPr>
        <w:rStyle w:val="10"/>
        <w:rFonts w:ascii="宋体" w:hAnsi="宋体"/>
      </w:rPr>
      <w:instrText xml:space="preserve">PAGE   \* MERGEFORMAT</w:instrText>
    </w:r>
    <w:r>
      <w:rPr>
        <w:rStyle w:val="10"/>
        <w:rFonts w:ascii="宋体" w:hAnsi="宋体"/>
      </w:rPr>
      <w:fldChar w:fldCharType="separate"/>
    </w:r>
    <w:r>
      <w:rPr>
        <w:rStyle w:val="10"/>
        <w:rFonts w:ascii="宋体" w:hAnsi="宋体"/>
      </w:rPr>
      <w:t>8</w:t>
    </w:r>
    <w:r>
      <w:rPr>
        <w:rStyle w:val="10"/>
        <w:rFonts w:ascii="宋体" w:hAnsi="宋体"/>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180" w:firstLineChars="100"/>
      <w:rPr>
        <w:rStyle w:val="10"/>
        <w:rFonts w:ascii="宋体" w:hAnsi="宋体"/>
      </w:rPr>
    </w:pPr>
    <w:r>
      <w:rPr>
        <w:rStyle w:val="10"/>
        <w:rFonts w:hint="eastAsia" w:ascii="宋体" w:hAnsi="宋体"/>
      </w:rPr>
      <w:t xml:space="preserve">                          </w:t>
    </w:r>
    <w:r>
      <w:rPr>
        <w:rStyle w:val="10"/>
        <w:rFonts w:ascii="宋体" w:hAnsi="宋体"/>
      </w:rPr>
      <w:fldChar w:fldCharType="begin"/>
    </w:r>
    <w:r>
      <w:rPr>
        <w:rStyle w:val="10"/>
        <w:rFonts w:ascii="宋体" w:hAnsi="宋体"/>
      </w:rPr>
      <w:instrText xml:space="preserve">PAGE   \* MERGEFORMAT</w:instrText>
    </w:r>
    <w:r>
      <w:rPr>
        <w:rStyle w:val="10"/>
        <w:rFonts w:ascii="宋体" w:hAnsi="宋体"/>
      </w:rPr>
      <w:fldChar w:fldCharType="separate"/>
    </w:r>
    <w:r>
      <w:rPr>
        <w:rStyle w:val="10"/>
        <w:rFonts w:ascii="宋体" w:hAnsi="宋体"/>
      </w:rPr>
      <w:t>15</w:t>
    </w:r>
    <w:r>
      <w:rPr>
        <w:rStyle w:val="10"/>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hint="eastAsia"/>
      </w:rPr>
      <w:t>《智能制造之MES系统》</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hint="eastAsia"/>
      </w:rPr>
      <w:t>《智能制造MES系统》</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hint="eastAsia"/>
      </w:rPr>
      <w:t>《智能制造之MES系统》</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hint="eastAsia"/>
      </w:rPr>
      <w:t>《智能制造之MES系统》</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hint="eastAsia"/>
      </w:rPr>
      <w:t>《智能制造之MES系统》</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hint="eastAsia"/>
      </w:rPr>
      <w:t>空军济南航空四站装备修理厂《装备制造生产系统》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81F50"/>
    <w:multiLevelType w:val="multilevel"/>
    <w:tmpl w:val="03D81F50"/>
    <w:lvl w:ilvl="0" w:tentative="0">
      <w:start w:val="1"/>
      <w:numFmt w:val="decimal"/>
      <w:lvlText w:val="%1)"/>
      <w:lvlJc w:val="left"/>
      <w:pPr>
        <w:tabs>
          <w:tab w:val="left" w:pos="786"/>
        </w:tabs>
        <w:ind w:left="786" w:hanging="360"/>
      </w:pPr>
      <w:rPr>
        <w:rFonts w:hint="default" w:ascii="宋体" w:hAnsi="宋体" w:eastAsia="宋体"/>
      </w:rPr>
    </w:lvl>
    <w:lvl w:ilvl="1" w:tentative="0">
      <w:start w:val="1"/>
      <w:numFmt w:val="bullet"/>
      <w:lvlText w:val=""/>
      <w:lvlJc w:val="left"/>
      <w:pPr>
        <w:tabs>
          <w:tab w:val="left" w:pos="786"/>
        </w:tabs>
        <w:ind w:left="786" w:hanging="360"/>
      </w:pPr>
      <w:rPr>
        <w:rFonts w:hint="default" w:ascii="Wingdings" w:hAnsi="Wingdings"/>
      </w:rPr>
    </w:lvl>
    <w:lvl w:ilvl="2" w:tentative="0">
      <w:start w:val="1"/>
      <w:numFmt w:val="bullet"/>
      <w:lvlText w:val="•"/>
      <w:lvlJc w:val="left"/>
      <w:pPr>
        <w:tabs>
          <w:tab w:val="left" w:pos="2160"/>
        </w:tabs>
        <w:ind w:left="2160" w:hanging="360"/>
      </w:pPr>
      <w:rPr>
        <w:rFonts w:hint="default" w:ascii="宋体" w:hAnsi="宋体"/>
      </w:rPr>
    </w:lvl>
    <w:lvl w:ilvl="3" w:tentative="0">
      <w:start w:val="1"/>
      <w:numFmt w:val="bullet"/>
      <w:lvlText w:val="•"/>
      <w:lvlJc w:val="left"/>
      <w:pPr>
        <w:tabs>
          <w:tab w:val="left" w:pos="2880"/>
        </w:tabs>
        <w:ind w:left="2880" w:hanging="360"/>
      </w:pPr>
      <w:rPr>
        <w:rFonts w:hint="default" w:ascii="宋体" w:hAnsi="宋体"/>
      </w:rPr>
    </w:lvl>
    <w:lvl w:ilvl="4" w:tentative="0">
      <w:start w:val="1"/>
      <w:numFmt w:val="bullet"/>
      <w:lvlText w:val="•"/>
      <w:lvlJc w:val="left"/>
      <w:pPr>
        <w:tabs>
          <w:tab w:val="left" w:pos="3600"/>
        </w:tabs>
        <w:ind w:left="3600" w:hanging="360"/>
      </w:pPr>
      <w:rPr>
        <w:rFonts w:hint="default" w:ascii="宋体" w:hAnsi="宋体"/>
      </w:rPr>
    </w:lvl>
    <w:lvl w:ilvl="5" w:tentative="0">
      <w:start w:val="1"/>
      <w:numFmt w:val="bullet"/>
      <w:lvlText w:val="•"/>
      <w:lvlJc w:val="left"/>
      <w:pPr>
        <w:tabs>
          <w:tab w:val="left" w:pos="4320"/>
        </w:tabs>
        <w:ind w:left="4320" w:hanging="360"/>
      </w:pPr>
      <w:rPr>
        <w:rFonts w:hint="default" w:ascii="宋体" w:hAnsi="宋体"/>
      </w:rPr>
    </w:lvl>
    <w:lvl w:ilvl="6" w:tentative="0">
      <w:start w:val="1"/>
      <w:numFmt w:val="bullet"/>
      <w:lvlText w:val="•"/>
      <w:lvlJc w:val="left"/>
      <w:pPr>
        <w:tabs>
          <w:tab w:val="left" w:pos="5040"/>
        </w:tabs>
        <w:ind w:left="5040" w:hanging="360"/>
      </w:pPr>
      <w:rPr>
        <w:rFonts w:hint="default" w:ascii="宋体" w:hAnsi="宋体"/>
      </w:rPr>
    </w:lvl>
    <w:lvl w:ilvl="7" w:tentative="0">
      <w:start w:val="1"/>
      <w:numFmt w:val="bullet"/>
      <w:lvlText w:val="•"/>
      <w:lvlJc w:val="left"/>
      <w:pPr>
        <w:tabs>
          <w:tab w:val="left" w:pos="5760"/>
        </w:tabs>
        <w:ind w:left="5760" w:hanging="360"/>
      </w:pPr>
      <w:rPr>
        <w:rFonts w:hint="default" w:ascii="宋体" w:hAnsi="宋体"/>
      </w:rPr>
    </w:lvl>
    <w:lvl w:ilvl="8" w:tentative="0">
      <w:start w:val="1"/>
      <w:numFmt w:val="bullet"/>
      <w:lvlText w:val="•"/>
      <w:lvlJc w:val="left"/>
      <w:pPr>
        <w:tabs>
          <w:tab w:val="left" w:pos="6480"/>
        </w:tabs>
        <w:ind w:left="6480" w:hanging="360"/>
      </w:pPr>
      <w:rPr>
        <w:rFonts w:hint="default" w:ascii="宋体" w:hAnsi="宋体"/>
      </w:rPr>
    </w:lvl>
  </w:abstractNum>
  <w:abstractNum w:abstractNumId="1">
    <w:nsid w:val="0ED53CC2"/>
    <w:multiLevelType w:val="multilevel"/>
    <w:tmpl w:val="0ED53CC2"/>
    <w:lvl w:ilvl="0" w:tentative="0">
      <w:start w:val="1"/>
      <w:numFmt w:val="decimal"/>
      <w:lvlText w:val="%1)"/>
      <w:lvlJc w:val="left"/>
      <w:pPr>
        <w:ind w:left="420" w:hanging="420"/>
      </w:pPr>
      <w:rPr>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9A75049"/>
    <w:multiLevelType w:val="multilevel"/>
    <w:tmpl w:val="19A75049"/>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56A2D49"/>
    <w:multiLevelType w:val="multilevel"/>
    <w:tmpl w:val="456A2D4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22150B"/>
    <w:multiLevelType w:val="multilevel"/>
    <w:tmpl w:val="5A22150B"/>
    <w:lvl w:ilvl="0" w:tentative="0">
      <w:start w:val="1"/>
      <w:numFmt w:val="decimal"/>
      <w:lvlText w:val="%1)"/>
      <w:lvlJc w:val="left"/>
      <w:pPr>
        <w:ind w:left="420" w:hanging="420"/>
      </w:pPr>
      <w:rPr>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C777D87"/>
    <w:multiLevelType w:val="multilevel"/>
    <w:tmpl w:val="5C777D8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9213ABA"/>
    <w:multiLevelType w:val="multilevel"/>
    <w:tmpl w:val="79213ABA"/>
    <w:lvl w:ilvl="0" w:tentative="0">
      <w:start w:val="1"/>
      <w:numFmt w:val="decimal"/>
      <w:lvlText w:val="%1)"/>
      <w:lvlJc w:val="left"/>
      <w:pPr>
        <w:ind w:left="420" w:hanging="420"/>
      </w:pPr>
      <w:rPr>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6"/>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124E4"/>
    <w:rsid w:val="000345FE"/>
    <w:rsid w:val="0008407C"/>
    <w:rsid w:val="000A1A7E"/>
    <w:rsid w:val="000A6831"/>
    <w:rsid w:val="000C0064"/>
    <w:rsid w:val="00100D83"/>
    <w:rsid w:val="001124E4"/>
    <w:rsid w:val="001162C0"/>
    <w:rsid w:val="00204E34"/>
    <w:rsid w:val="0023631F"/>
    <w:rsid w:val="00250C60"/>
    <w:rsid w:val="00264720"/>
    <w:rsid w:val="002B776A"/>
    <w:rsid w:val="002E03B3"/>
    <w:rsid w:val="002E2B14"/>
    <w:rsid w:val="00361C3C"/>
    <w:rsid w:val="00391FAD"/>
    <w:rsid w:val="003A68D0"/>
    <w:rsid w:val="003C4812"/>
    <w:rsid w:val="00494622"/>
    <w:rsid w:val="00541EF0"/>
    <w:rsid w:val="0055646D"/>
    <w:rsid w:val="005D5E78"/>
    <w:rsid w:val="006004A7"/>
    <w:rsid w:val="0064466C"/>
    <w:rsid w:val="006542D3"/>
    <w:rsid w:val="006D316A"/>
    <w:rsid w:val="006E1D12"/>
    <w:rsid w:val="006F600C"/>
    <w:rsid w:val="00714AF2"/>
    <w:rsid w:val="007C231B"/>
    <w:rsid w:val="007E12A4"/>
    <w:rsid w:val="008121AD"/>
    <w:rsid w:val="00843D6E"/>
    <w:rsid w:val="00856F0C"/>
    <w:rsid w:val="008D5D02"/>
    <w:rsid w:val="00941AA0"/>
    <w:rsid w:val="0099459C"/>
    <w:rsid w:val="009A6DD5"/>
    <w:rsid w:val="00A76732"/>
    <w:rsid w:val="00A82AE8"/>
    <w:rsid w:val="00AC74F3"/>
    <w:rsid w:val="00BB627B"/>
    <w:rsid w:val="00BD4DF6"/>
    <w:rsid w:val="00BF4DC4"/>
    <w:rsid w:val="00CA369B"/>
    <w:rsid w:val="00CB2EAC"/>
    <w:rsid w:val="00CF62A5"/>
    <w:rsid w:val="00D22222"/>
    <w:rsid w:val="00D669B7"/>
    <w:rsid w:val="00D77C27"/>
    <w:rsid w:val="00DA123D"/>
    <w:rsid w:val="00DC22EB"/>
    <w:rsid w:val="00DD11E0"/>
    <w:rsid w:val="00DF6CE4"/>
    <w:rsid w:val="00E22E45"/>
    <w:rsid w:val="00E365BB"/>
    <w:rsid w:val="00EC28EB"/>
    <w:rsid w:val="00EE4947"/>
    <w:rsid w:val="00EF3971"/>
    <w:rsid w:val="00F263CE"/>
    <w:rsid w:val="00F900B9"/>
    <w:rsid w:val="00FA7899"/>
    <w:rsid w:val="00FB758A"/>
    <w:rsid w:val="00FC5763"/>
    <w:rsid w:val="00FD0092"/>
    <w:rsid w:val="39BF7EA6"/>
    <w:rsid w:val="3DDA68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直接箭头连接符 5"/>
        <o:r id="V:Rule2" type="connector" idref="#直接箭头连接符 4"/>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4">
    <w:name w:val="caption"/>
    <w:basedOn w:val="1"/>
    <w:next w:val="1"/>
    <w:unhideWhenUsed/>
    <w:qFormat/>
    <w:uiPriority w:val="35"/>
    <w:rPr>
      <w:rFonts w:eastAsia="黑体" w:asciiTheme="majorHAnsi" w:hAnsiTheme="majorHAnsi" w:cstheme="majorBidi"/>
      <w:sz w:val="20"/>
      <w:szCs w:val="20"/>
    </w:rPr>
  </w:style>
  <w:style w:type="paragraph" w:styleId="5">
    <w:name w:val="Balloon Text"/>
    <w:basedOn w:val="1"/>
    <w:link w:val="16"/>
    <w:semiHidden/>
    <w:unhideWhenUsed/>
    <w:uiPriority w:val="99"/>
    <w:rPr>
      <w:sz w:val="18"/>
      <w:szCs w:val="18"/>
    </w:rPr>
  </w:style>
  <w:style w:type="paragraph" w:styleId="6">
    <w:name w:val="footer"/>
    <w:basedOn w:val="1"/>
    <w:link w:val="13"/>
    <w:unhideWhenUsed/>
    <w:qFormat/>
    <w:uiPriority w:val="0"/>
    <w:pPr>
      <w:tabs>
        <w:tab w:val="center" w:pos="4153"/>
        <w:tab w:val="right" w:pos="8306"/>
      </w:tabs>
      <w:snapToGrid w:val="0"/>
      <w:jc w:val="left"/>
    </w:pPr>
    <w:rPr>
      <w:sz w:val="18"/>
      <w:szCs w:val="18"/>
    </w:rPr>
  </w:style>
  <w:style w:type="paragraph" w:styleId="7">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character" w:styleId="10">
    <w:name w:val="page number"/>
    <w:qFormat/>
    <w:uiPriority w:val="0"/>
  </w:style>
  <w:style w:type="character" w:customStyle="1" w:styleId="11">
    <w:name w:val="标题 1 Char"/>
    <w:basedOn w:val="9"/>
    <w:link w:val="2"/>
    <w:qFormat/>
    <w:uiPriority w:val="9"/>
    <w:rPr>
      <w:b/>
      <w:bCs/>
      <w:kern w:val="44"/>
      <w:sz w:val="44"/>
      <w:szCs w:val="44"/>
    </w:rPr>
  </w:style>
  <w:style w:type="character" w:customStyle="1" w:styleId="12">
    <w:name w:val="页眉 Char"/>
    <w:basedOn w:val="9"/>
    <w:link w:val="7"/>
    <w:qFormat/>
    <w:uiPriority w:val="99"/>
    <w:rPr>
      <w:sz w:val="18"/>
      <w:szCs w:val="18"/>
    </w:rPr>
  </w:style>
  <w:style w:type="character" w:customStyle="1" w:styleId="13">
    <w:name w:val="页脚 Char"/>
    <w:basedOn w:val="9"/>
    <w:link w:val="6"/>
    <w:qFormat/>
    <w:uiPriority w:val="0"/>
    <w:rPr>
      <w:sz w:val="18"/>
      <w:szCs w:val="18"/>
    </w:rPr>
  </w:style>
  <w:style w:type="character" w:customStyle="1" w:styleId="14">
    <w:name w:val="标题 2 Char"/>
    <w:basedOn w:val="9"/>
    <w:link w:val="3"/>
    <w:qFormat/>
    <w:uiPriority w:val="0"/>
    <w:rPr>
      <w:rFonts w:asciiTheme="majorHAnsi" w:hAnsiTheme="majorHAnsi" w:eastAsiaTheme="majorEastAsia" w:cstheme="majorBidi"/>
      <w:b/>
      <w:bCs/>
      <w:sz w:val="32"/>
      <w:szCs w:val="32"/>
    </w:rPr>
  </w:style>
  <w:style w:type="paragraph" w:styleId="15">
    <w:name w:val="List Paragraph"/>
    <w:basedOn w:val="1"/>
    <w:qFormat/>
    <w:uiPriority w:val="34"/>
    <w:pPr>
      <w:ind w:firstLine="420" w:firstLineChars="200"/>
    </w:pPr>
  </w:style>
  <w:style w:type="character" w:customStyle="1" w:styleId="16">
    <w:name w:val="批注框文本 Char"/>
    <w:basedOn w:val="9"/>
    <w:link w:val="5"/>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customXml" Target="../customXml/item2.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10.emf"/><Relationship Id="rId32" Type="http://schemas.openxmlformats.org/officeDocument/2006/relationships/oleObject" Target="embeddings/oleObject8.bin"/><Relationship Id="rId31" Type="http://schemas.openxmlformats.org/officeDocument/2006/relationships/image" Target="media/image9.emf"/><Relationship Id="rId30" Type="http://schemas.openxmlformats.org/officeDocument/2006/relationships/oleObject" Target="embeddings/oleObject7.bin"/><Relationship Id="rId3" Type="http://schemas.openxmlformats.org/officeDocument/2006/relationships/header" Target="header1.xml"/><Relationship Id="rId29" Type="http://schemas.openxmlformats.org/officeDocument/2006/relationships/image" Target="media/image8.emf"/><Relationship Id="rId28" Type="http://schemas.openxmlformats.org/officeDocument/2006/relationships/oleObject" Target="embeddings/oleObject6.bin"/><Relationship Id="rId27" Type="http://schemas.openxmlformats.org/officeDocument/2006/relationships/image" Target="media/image7.emf"/><Relationship Id="rId26" Type="http://schemas.openxmlformats.org/officeDocument/2006/relationships/oleObject" Target="embeddings/oleObject5.bin"/><Relationship Id="rId25" Type="http://schemas.openxmlformats.org/officeDocument/2006/relationships/image" Target="media/image6.emf"/><Relationship Id="rId24" Type="http://schemas.openxmlformats.org/officeDocument/2006/relationships/oleObject" Target="embeddings/oleObject4.bin"/><Relationship Id="rId23" Type="http://schemas.openxmlformats.org/officeDocument/2006/relationships/image" Target="media/image5.emf"/><Relationship Id="rId22" Type="http://schemas.openxmlformats.org/officeDocument/2006/relationships/oleObject" Target="embeddings/oleObject3.bin"/><Relationship Id="rId21" Type="http://schemas.openxmlformats.org/officeDocument/2006/relationships/image" Target="media/image4.emf"/><Relationship Id="rId20" Type="http://schemas.openxmlformats.org/officeDocument/2006/relationships/oleObject" Target="embeddings/oleObject2.bin"/><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emf"/><Relationship Id="rId17" Type="http://schemas.openxmlformats.org/officeDocument/2006/relationships/oleObject" Target="embeddings/oleObject1.bin"/><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Info spid="_x0000_s103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B3A65F-1BED-46E6-8432-A9ED2432CD5E}">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605</Words>
  <Characters>3455</Characters>
  <Lines>28</Lines>
  <Paragraphs>8</Paragraphs>
  <TotalTime>518</TotalTime>
  <ScaleCrop>false</ScaleCrop>
  <LinksUpToDate>false</LinksUpToDate>
  <CharactersWithSpaces>4052</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2015-04-24T08:37:00Z</dcterms:created>
  <dc:creator>lxx</dc:creator>
  <cp:lastModifiedBy>handstand</cp:lastModifiedBy>
  <dcterms:modified xsi:type="dcterms:W3CDTF">2019-09-02T10:48:20Z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