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产品介绍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val="en-US" w:eastAsia="zh-CN"/>
        </w:rPr>
        <w:t>用于钢铁标识行业的大字符手推式白墨喷码机，底下有四个喷头，一次性能喷印四行。人机交互界面采用工业10.3寸触摸屏，喷头开闭由STC15单片机控制，旋转编码器脉冲计数触发。</w:t>
      </w:r>
    </w:p>
    <w:p>
      <w:pPr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功能需求：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界面设计应该简介明了，让用户方便操作不需专门学习。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数据掉电保护：掉电后数据不能丢失。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U盘读写：用户预先往U盘存入喷号所需的字符信息，U盘插入设备应在屏幕显示字符信息并选择。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历史纪录：用户当天的设置应该作为历史记录保存，可在界面浏览选择历史纪录。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用户可自定义图形：由于不同钢铁厂的企业LOGO不同，所以显示屏应该具有用户自定义绘制企业LOGO或者图形功能。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设置：设置内容包括管道清洗设置、日期时间设置、字符格式设置、字符左右上下翻转设置、喷头打开时间设置、隔膜泵压力设置。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系统状态：显示当前管道压力、油墨液位剩余高度、当前喷的字符、字符格式、喷头打开时间。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报警：设置液位下限报警、管道压力上下限报警。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通信协议：采用modbus协议或者自定义协议。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通信：下位机采用STC15单片机，应和他稳定通信。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应该编写STC15单片机协议方便和触摸屏通信。</w:t>
      </w: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设备试用锂电池供电，需要电量显示，电量不足提示，充电状态显示。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7711"/>
    <w:multiLevelType w:val="singleLevel"/>
    <w:tmpl w:val="58B7771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B67F7"/>
    <w:rsid w:val="46607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初垚</dc:creator>
  <cp:lastModifiedBy>初垚</cp:lastModifiedBy>
  <dcterms:modified xsi:type="dcterms:W3CDTF">2017-03-04T18:17:00Z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